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Editar malla publicada.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HU59 Editar malla publicada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MT-EP04-HU59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REQ-MT-59 / EP-04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modificar celdas de una malla publicada cuando la configuración lo permite, con motivo e historial, para atender cambios reales sin perder trazabilidad.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MT-EP05-HU63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editar malla publicada.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cambia celda con motivo.</w:t>
            </w:r>
          </w:p>
          <w:p>
            <w:pPr/>
            <w:r>
              <w:t xml:space="preserve">   Sistema: Entonces persiste, historial y notifica si corresponde.</w:t>
            </w:r>
          </w:p>
          <w:p>
            <w:pPr/>
            <w:r/>
          </w:p>
          <w:p>
            <w:pPr/>
            <w:r>
              <w:t>Resultado esperado: Editar malla publicada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«Editar malla publicada»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Edición permitida: dado que flag on, cuando cambia celda con motivo, entonces persiste, historial y notifica si corresponde.</w:t>
            </w:r>
          </w:p>
          <w:p>
            <w:pPr/>
            <w:r>
              <w:t>2. Flag off: dado que no editable, cuando intenta, entonces niega.</w:t>
            </w:r>
          </w:p>
          <w:p>
            <w:pPr/>
            <w:r>
              <w:t>3. Motivo: dado que config exige motivo, cuando guarda sin motivo, entonces bloquea.</w:t>
            </w:r>
          </w:p>
          <w:p>
            <w:pPr/>
            <w:r>
              <w:t>4. Concurrencia: dado que versión vieja, cuando guarda, entonces conflicto HU39.</w:t>
            </w:r>
          </w:p>
          <w:p>
            <w:pPr/>
            <w:r>
              <w:t>5. Tenant: dado que OK, cuando OK,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Si editabilidad post-publicación = no, solo novedades vía flujo permitido o nada.</w:t>
            </w:r>
          </w:p>
          <w:p>
            <w:pPr/>
            <w:r>
              <w:t>RN-02. Cada cambio deja historial inmutable.</w:t>
            </w:r>
          </w:p>
          <w:p>
            <w:pPr/>
            <w:r>
              <w:t>RN-03. Estado puede marcarse como modificada después de publicar a nivel de celda/malla según diseño.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publicada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editable post-publicación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a modificar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de la malla publicada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Nuevo valor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Turno, estado o atributo nuevo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 del cambio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Justificación de la edición post-publicación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MT-EP04-HU59 — PRY - HU59 Editar malla publicada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