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Arial" w:hAnsi="Arial"/>
          <w:b/>
          <w:color w:val="0F2C59"/>
          <w:sz w:val="44"/>
        </w:rPr>
        <w:t>د. محمود عبد الرحمن همام عبد الرحمن</w:t>
      </w:r>
    </w:p>
    <w:p>
      <w:pPr>
        <w:jc w:val="right"/>
      </w:pPr>
      <w:r>
        <w:rPr>
          <w:rFonts w:ascii="Arial" w:hAnsi="Arial"/>
          <w:b/>
          <w:color w:val="C59B27"/>
          <w:sz w:val="22"/>
        </w:rPr>
        <w:t>استشاري تكنولوجيا الرعاية الصحية والتحول الرقمي | مفتش رقابي بهيئة الشراء الموحد (UPA)</w:t>
        <w:br/>
        <w:t>مستشار عميد المعهد للشئون التكنولوجية | المدير العلمي لفرق الـ CDC | المؤسس والرئيس التنفيذي لـ Al-Abd Unimed</w:t>
      </w:r>
    </w:p>
    <w:tbl>
      <w:tblPr>
        <w:tblW w:type="auto" w:w="0"/>
        <w:jc w:val="center"/>
        <w:tblLook w:firstColumn="1" w:firstRow="1" w:lastColumn="0" w:lastRow="0" w:noHBand="0" w:noVBand="1" w:val="04A0"/>
      </w:tblPr>
      <w:tblGrid>
        <w:gridCol w:w="10224"/>
      </w:tblGrid>
      <w:tr>
        <w:tc>
          <w:tcPr>
            <w:tcW w:type="dxa" w:w="10224"/>
            <w:shd w:fill="F0F4F8"/>
            <w:tcMar>
              <w:top w:w="120" w:type="dxa"/>
              <w:bottom w:w="120" w:type="dxa"/>
              <w:left w:w="200" w:type="dxa"/>
              <w:right w:w="200" w:type="dxa"/>
            </w:tcMar>
          </w:tcPr>
          <w:p>
            <w:pPr>
              <w:jc w:val="right"/>
            </w:pPr>
            <w:r>
              <w:rPr>
                <w:rFonts w:ascii="Arial" w:hAnsi="Arial"/>
                <w:b/>
                <w:color w:val="0F2C59"/>
                <w:sz w:val="19"/>
              </w:rPr>
              <w:t>مصر (الجيزة / القاهرة)  |  هاتف / واتساب: 01010436430 (+20)  |  البريد: Drfifty.mido@gmail.com  |  المؤهل: بكالوريوس الصيدلة الإكلينيكية</w:t>
            </w:r>
          </w:p>
        </w:tc>
      </w:tr>
    </w:tbl>
    <w:p/>
    <w:p>
      <w:pPr>
        <w:spacing w:before="200" w:after="80"/>
        <w:jc w:val="right"/>
        <w:pBdr>
          <w:bottom w:val="single" w:sz="12" w:space="4" w:color="0F2C59"/>
        </w:pBdr>
      </w:pPr>
      <w:r>
        <w:rPr>
          <w:rFonts w:ascii="Arial" w:hAnsi="Arial"/>
          <w:b/>
          <w:color w:val="0F2C59"/>
          <w:sz w:val="26"/>
        </w:rPr>
        <w:t>الملخص التنفيذي (Executive Summary)</w:t>
      </w:r>
    </w:p>
    <w:p>
      <w:pPr>
        <w:spacing w:line="300" w:lineRule="auto"/>
        <w:jc w:val="right"/>
      </w:pPr>
      <w:r>
        <w:rPr>
          <w:rFonts w:ascii="Arial" w:hAnsi="Arial"/>
          <w:color w:val="282D37"/>
          <w:sz w:val="20"/>
        </w:rPr>
        <w:t>قائد استراتيجي وخبير تحول رقمي صيدلي يتمتع بمسيرة مهنية استثنائية تمتد لأكثر من عشر سنوات، تجمع بتفرد نادر بين الرؤية الطبية/التشخيصية الدقيقة (الصيدلة الإكلينيكية والجينوميكس)، وحوكمة الامتثال والتفتيش الرقابي الصارم (مفتش بهيئة الشراء الموحد UPA)، وهندسة البرمجيات والأتمتة الذكية (Python &amp; Custom ERP)، والإدارة التجارية لسلاسل الصيدليات الكبرى، وريادة الأعمال في قطاع التكنولوجيا الصحية (Health-Tech).</w:t>
        <w:br/>
        <w:br/>
        <w:t>يمتلك سجلاً تاريخياً مشهوداً في إدارة الأزمات الحساسة رفيعة المستوى، أبرزها النجاح الفردي في فك وتسوية أزمة مخزنية ورقابية معقدة بقيمة 600 مليون جنيه مصري خلال أقل من 10 ساعات متواصلة وحماية قيادات كبرى من تبعات قانونية وإدارية فادحة. مبتكر حلول برمجية نوعية أسهمت في ميكنة الفحص الجيني القومي لحديثي الولادة بنسبة خطأ 0.00% محولاً زمن معالجة وإرسال النتائج لبوابة وزارة الصحة من أيام إلى ثوانٍ معدودة، ومطور لمنظومة عقود مؤتمتة بالكامل حلت أزمة إدارية مزمنة. بناءً على هذه الإنجازات، تم تكليفه رسمياً بقرار مباشر من عميد المعهد القومي لأبحاث الكبد كمستشار رئيسي للإدارة العليا ومديراً للشئون التكنولوجية للمعهد بفروعه الثلاثة. مؤسس مجموعة صحية وتقنية تشمل سلسلة صيدليات ومركزاً طبياً ومنصات رقمية مبتكرة (AU MED &amp; AU Business)، وباحث يعكف حالياً على نشر دراسة علمية محكمة في مجلات دولية حول الاقتصاد الدائري في سلاسل الإمداد الدوائي.</w:t>
      </w:r>
    </w:p>
    <w:p>
      <w:pPr>
        <w:spacing w:before="200" w:after="80"/>
        <w:jc w:val="right"/>
        <w:pBdr>
          <w:bottom w:val="single" w:sz="12" w:space="4" w:color="0F2C59"/>
        </w:pBdr>
      </w:pPr>
      <w:r>
        <w:rPr>
          <w:rFonts w:ascii="Arial" w:hAnsi="Arial"/>
          <w:b/>
          <w:color w:val="0F2C59"/>
          <w:sz w:val="26"/>
        </w:rPr>
        <w:t>الكفاءات والقدرات الجوهرية (Core Competencies)</w:t>
      </w:r>
    </w:p>
    <w:p>
      <w:pPr>
        <w:spacing w:after="60"/>
        <w:jc w:val="right"/>
      </w:pPr>
      <w:r>
        <w:rPr>
          <w:rFonts w:ascii="Arial" w:hAnsi="Arial"/>
          <w:b/>
          <w:color w:val="0F2C59"/>
          <w:sz w:val="19"/>
        </w:rPr>
        <w:t xml:space="preserve">■ الاستشارات التكنولوجية والقيادة الاستراتيجية: </w:t>
      </w:r>
      <w:r>
        <w:rPr>
          <w:rFonts w:ascii="Arial" w:hAnsi="Arial"/>
          <w:color w:val="282D37"/>
          <w:sz w:val="19"/>
        </w:rPr>
        <w:t>صياغة استراتيجيات التحول الرقمي الشامل، دعم اتخاذ القرار بالقيادات الوزارية والإدارات العليا، وإدارة المنشآت الطبية والصيدلية متعددة الفروع.</w:t>
      </w:r>
    </w:p>
    <w:p>
      <w:pPr>
        <w:spacing w:after="60"/>
        <w:jc w:val="right"/>
      </w:pPr>
      <w:r>
        <w:rPr>
          <w:rFonts w:ascii="Arial" w:hAnsi="Arial"/>
          <w:b/>
          <w:color w:val="0F2C59"/>
          <w:sz w:val="19"/>
        </w:rPr>
        <w:t xml:space="preserve">■ هندسة وتطوير النظم المؤتمتة (Custom ERP): </w:t>
      </w:r>
      <w:r>
        <w:rPr>
          <w:rFonts w:ascii="Arial" w:hAnsi="Arial"/>
          <w:color w:val="282D37"/>
          <w:sz w:val="19"/>
        </w:rPr>
        <w:t>ابتكار أنظمة إدارة العقود والموردين، أتمتة تدفقات العمل السريرية والإدارية، وميكنة التقارير التشخيصية فائقة السرعة.</w:t>
      </w:r>
    </w:p>
    <w:p>
      <w:pPr>
        <w:spacing w:after="60"/>
        <w:jc w:val="right"/>
      </w:pPr>
      <w:r>
        <w:rPr>
          <w:rFonts w:ascii="Arial" w:hAnsi="Arial"/>
          <w:b/>
          <w:color w:val="0F2C59"/>
          <w:sz w:val="19"/>
        </w:rPr>
        <w:t xml:space="preserve">■ إدارة الأزمات والامتثال التنظيمي (UPA Compliance): </w:t>
      </w:r>
      <w:r>
        <w:rPr>
          <w:rFonts w:ascii="Arial" w:hAnsi="Arial"/>
          <w:color w:val="282D37"/>
          <w:sz w:val="19"/>
        </w:rPr>
        <w:t>تفتيش وتدقيق مخازن الأدوية والمعامل والتجهيزات، مطابقة السجلات الرقمية لهيئة الشراء الموحد، وحماية القيادات من المخاطر الرقابية.</w:t>
      </w:r>
    </w:p>
    <w:p>
      <w:pPr>
        <w:spacing w:after="60"/>
        <w:jc w:val="right"/>
      </w:pPr>
      <w:r>
        <w:rPr>
          <w:rFonts w:ascii="Arial" w:hAnsi="Arial"/>
          <w:b/>
          <w:color w:val="0F2C59"/>
          <w:sz w:val="19"/>
        </w:rPr>
        <w:t xml:space="preserve">■ حوكمة برامج المسح الجيني والمبادرات الرئاسية: </w:t>
      </w:r>
      <w:r>
        <w:rPr>
          <w:rFonts w:ascii="Arial" w:hAnsi="Arial"/>
          <w:color w:val="282D37"/>
          <w:sz w:val="19"/>
        </w:rPr>
        <w:t>إدارة منظومات الفحص الجيني القومي للولدان، الفحص المبكر للأورام، فحص المقبلين على الزواج بـ CDC، والربط مع بوابات وزارة الصحة.</w:t>
      </w:r>
    </w:p>
    <w:p>
      <w:pPr>
        <w:spacing w:after="60"/>
        <w:jc w:val="right"/>
      </w:pPr>
      <w:r>
        <w:rPr>
          <w:rFonts w:ascii="Arial" w:hAnsi="Arial"/>
          <w:b/>
          <w:color w:val="0F2C59"/>
          <w:sz w:val="19"/>
        </w:rPr>
        <w:t xml:space="preserve">■ لوجستيات سلاسل الإمداد والاقتصاد الدائري: </w:t>
      </w:r>
      <w:r>
        <w:rPr>
          <w:rFonts w:ascii="Arial" w:hAnsi="Arial"/>
          <w:color w:val="282D37"/>
          <w:sz w:val="19"/>
        </w:rPr>
        <w:t>تطوير خوارزميات برمجية بلغة Python لإعادة توزيع المخزون بشبكات واسعة (60 فرعاً) وخفض الهدر الدوائي.</w:t>
      </w:r>
    </w:p>
    <w:p>
      <w:pPr>
        <w:spacing w:after="60"/>
        <w:jc w:val="right"/>
      </w:pPr>
      <w:r>
        <w:rPr>
          <w:rFonts w:ascii="Arial" w:hAnsi="Arial"/>
          <w:b/>
          <w:color w:val="0F2C59"/>
          <w:sz w:val="19"/>
        </w:rPr>
        <w:t xml:space="preserve">■ الإدارة التجارية وريادة الأعمال (Commercial &amp; Startups): </w:t>
      </w:r>
      <w:r>
        <w:rPr>
          <w:rFonts w:ascii="Arial" w:hAnsi="Arial"/>
          <w:color w:val="282D37"/>
          <w:sz w:val="19"/>
        </w:rPr>
        <w:t>إدارة العمليات التجارية لسلاسل الصيدليات الكبرى، وتأسيس الشركات الناشئة، وبناء المنصات الرقمية (AU MED &amp; AU Business).</w:t>
      </w:r>
    </w:p>
    <w:p>
      <w:pPr>
        <w:spacing w:before="200" w:after="80"/>
        <w:jc w:val="right"/>
        <w:pBdr>
          <w:bottom w:val="single" w:sz="12" w:space="4" w:color="0F2C59"/>
        </w:pBdr>
      </w:pPr>
      <w:r>
        <w:rPr>
          <w:rFonts w:ascii="Arial" w:hAnsi="Arial"/>
          <w:b/>
          <w:color w:val="0F2C59"/>
          <w:sz w:val="26"/>
        </w:rPr>
        <w:t>الخبرات المهنية والتنفيذية (Professional &amp; Executive Experience)</w:t>
      </w:r>
    </w:p>
    <w:p>
      <w:pPr>
        <w:spacing w:before="160" w:after="40"/>
        <w:jc w:val="right"/>
      </w:pPr>
      <w:r>
        <w:rPr>
          <w:rFonts w:ascii="Arial" w:hAnsi="Arial"/>
          <w:b/>
          <w:color w:val="0F2C59"/>
          <w:sz w:val="22"/>
        </w:rPr>
        <w:t>مستشار عميد المعهد | مدير معهد الكبد للشئون التكنولوجية</w:t>
        <w:br/>
      </w:r>
      <w:r>
        <w:rPr>
          <w:rFonts w:ascii="Arial" w:hAnsi="Arial"/>
          <w:b/>
          <w:color w:val="C59B27"/>
          <w:sz w:val="19"/>
        </w:rPr>
        <w:t>المعهد القومي لأبحاث الكبد والأمراض المتوطنة (NHTMRI) – الهيئة العامة للمستشفيات والمعاهد التعليمية (GOTHI)  |  2026 – حتى الآن | القاهرة</w:t>
      </w:r>
    </w:p>
    <w:p>
      <w:pPr>
        <w:spacing w:after="40"/>
        <w:jc w:val="right"/>
      </w:pPr>
      <w:r>
        <w:rPr>
          <w:rFonts w:ascii="Arial" w:hAnsi="Arial"/>
          <w:b/>
          <w:color w:val="C59B27"/>
        </w:rPr>
        <w:t xml:space="preserve">• </w:t>
      </w:r>
      <w:r>
        <w:rPr>
          <w:rFonts w:ascii="Arial" w:hAnsi="Arial"/>
          <w:color w:val="282D37"/>
          <w:sz w:val="18"/>
        </w:rPr>
        <w:t>القيادة التكنولوجية المباشرة: التكليف المباشر بقرار من عميد المعهد لتولي قيادة وتنسيق الشئون التكنولوجية والتحول الرقمي للقطاع بالكامل والإشراف المباشر على فروعه الثلاثة، والعمل كمستشار تكنولوجي أول للإدارة العليا.</w:t>
      </w:r>
    </w:p>
    <w:p>
      <w:pPr>
        <w:spacing w:after="40"/>
        <w:jc w:val="right"/>
      </w:pPr>
      <w:r>
        <w:rPr>
          <w:rFonts w:ascii="Arial" w:hAnsi="Arial"/>
          <w:b/>
          <w:color w:val="C59B27"/>
        </w:rPr>
        <w:t xml:space="preserve">• </w:t>
      </w:r>
      <w:r>
        <w:rPr>
          <w:rFonts w:ascii="Arial" w:hAnsi="Arial"/>
          <w:color w:val="282D37"/>
          <w:sz w:val="18"/>
        </w:rPr>
        <w:t>ابتكار وتطوير نظام العقود والموردين المخصص (Custom Contract &amp; Vendor ERP): تصميم وبناء نظام برمجي متكامل لإدارة وميكنة كافة العقود، المناقصات، والتعاقدات بين المعهد وجميع الشركات والموردين، محولاً دورة العمل إلى منظومة رقمية مؤتمتة وموثوقة بنسبة 100%.</w:t>
      </w:r>
    </w:p>
    <w:p>
      <w:pPr>
        <w:spacing w:after="40"/>
        <w:jc w:val="right"/>
      </w:pPr>
      <w:r>
        <w:rPr>
          <w:rFonts w:ascii="Arial" w:hAnsi="Arial"/>
          <w:b/>
          <w:color w:val="C59B27"/>
        </w:rPr>
        <w:t xml:space="preserve">• </w:t>
      </w:r>
      <w:r>
        <w:rPr>
          <w:rFonts w:ascii="Arial" w:hAnsi="Arial"/>
          <w:color w:val="282D37"/>
          <w:sz w:val="18"/>
        </w:rPr>
        <w:t>تحديث البنية التحتية والربط المؤسسي: قيادة استراتيجية التحديث التقني الشامل وربط قواعد البيانات بين الفروع الثلاثة للارتقاء بكفاءة الخدمات الطبية والتشخيصية والإدارية.</w:t>
      </w:r>
    </w:p>
    <w:p>
      <w:pPr>
        <w:spacing w:before="160" w:after="40"/>
        <w:jc w:val="right"/>
      </w:pPr>
      <w:r>
        <w:rPr>
          <w:rFonts w:ascii="Arial" w:hAnsi="Arial"/>
          <w:b/>
          <w:color w:val="0F2C59"/>
          <w:sz w:val="22"/>
        </w:rPr>
        <w:t>المدير العلمي – فرق المسح الجيني والمبادرات الرئاسية</w:t>
        <w:br/>
      </w:r>
      <w:r>
        <w:rPr>
          <w:rFonts w:ascii="Arial" w:hAnsi="Arial"/>
          <w:b/>
          <w:color w:val="C59B27"/>
          <w:sz w:val="19"/>
        </w:rPr>
        <w:t>مركز التحكم في الأمراض المصري (CDC) – المعهد القومي لأبحاث الكبد  |  2026 – حتى الآن | القاهرة</w:t>
      </w:r>
    </w:p>
    <w:p>
      <w:pPr>
        <w:spacing w:after="40"/>
        <w:jc w:val="right"/>
      </w:pPr>
      <w:r>
        <w:rPr>
          <w:rFonts w:ascii="Arial" w:hAnsi="Arial"/>
          <w:b/>
          <w:color w:val="C59B27"/>
        </w:rPr>
        <w:t xml:space="preserve">• </w:t>
      </w:r>
      <w:r>
        <w:rPr>
          <w:rFonts w:ascii="Arial" w:hAnsi="Arial"/>
          <w:color w:val="282D37"/>
          <w:sz w:val="18"/>
        </w:rPr>
        <w:t>قيادة البرامج القومية والرئاسية: إدارة وتوجيه الفريق العلمي المسؤول عن مكافحة الاضطرابات الوراثية لدى حديثي الولادة، منظومة الاكتشاف المبكر للأورام، ومبادرة الفحص للمقبلين على الزواج بالاعتماد على أحدث تقنيات الـ DNA.</w:t>
      </w:r>
    </w:p>
    <w:p>
      <w:pPr>
        <w:spacing w:after="40"/>
        <w:jc w:val="right"/>
      </w:pPr>
      <w:r>
        <w:rPr>
          <w:rFonts w:ascii="Arial" w:hAnsi="Arial"/>
          <w:b/>
          <w:color w:val="C59B27"/>
        </w:rPr>
        <w:t xml:space="preserve">• </w:t>
      </w:r>
      <w:r>
        <w:rPr>
          <w:rFonts w:ascii="Arial" w:hAnsi="Arial"/>
          <w:color w:val="282D37"/>
          <w:sz w:val="18"/>
        </w:rPr>
        <w:t>استيعاب وحوكمة دورة العمل الفائقة في 72 ساعة: إتقان وحوكمة المنظومة المعقدة لبرنامج المسح الجيني لحديثي الولادة على مستوى الجمهورية بالكامل خلال 3 أيام تدريب فقط.</w:t>
      </w:r>
    </w:p>
    <w:p>
      <w:pPr>
        <w:spacing w:after="40"/>
        <w:jc w:val="right"/>
      </w:pPr>
      <w:r>
        <w:rPr>
          <w:rFonts w:ascii="Arial" w:hAnsi="Arial"/>
          <w:b/>
          <w:color w:val="C59B27"/>
        </w:rPr>
        <w:t xml:space="preserve">• </w:t>
      </w:r>
      <w:r>
        <w:rPr>
          <w:rFonts w:ascii="Arial" w:hAnsi="Arial"/>
          <w:color w:val="282D37"/>
          <w:sz w:val="18"/>
        </w:rPr>
        <w:t>ابتكار أداة الأتمتة القومية (إنجاز اليوم الرابع): برمجة أداة أتمتة فائقة الذكاء والسرعة في اليوم الرابع لسد العجز الحاد في الكوادر الطبية، محولاً عملية توليد التقارير ورفع التحاليل لبوابة وزارة الصحة من أيام إلى ثوانٍ معدودة بضغطة زر وبنسبة خطأ 0.00%.</w:t>
      </w:r>
    </w:p>
    <w:p>
      <w:pPr>
        <w:spacing w:after="40"/>
        <w:jc w:val="right"/>
      </w:pPr>
      <w:r>
        <w:rPr>
          <w:rFonts w:ascii="Arial" w:hAnsi="Arial"/>
          <w:b/>
          <w:color w:val="C59B27"/>
        </w:rPr>
        <w:t xml:space="preserve">• </w:t>
      </w:r>
      <w:r>
        <w:rPr>
          <w:rFonts w:ascii="Arial" w:hAnsi="Arial"/>
          <w:color w:val="282D37"/>
          <w:sz w:val="18"/>
        </w:rPr>
        <w:t>الترقية الاستثنائية الفورية: تقديم المشروع لمساعد وزير الصحة (مدير الـ CDC) وعميد المعهد، مما أدى لترقية فورية لمنصب مستشار العميد ومدير الشئون التكنولوجية.</w:t>
      </w:r>
    </w:p>
    <w:p>
      <w:pPr>
        <w:spacing w:before="160" w:after="40"/>
        <w:jc w:val="right"/>
      </w:pPr>
      <w:r>
        <w:rPr>
          <w:rFonts w:ascii="Arial" w:hAnsi="Arial"/>
          <w:b/>
          <w:color w:val="0F2C59"/>
          <w:sz w:val="22"/>
        </w:rPr>
        <w:t>مفتش ومراجع الامتثال التنظيمي والمخزني – مخازن الأدوية والمعامل والتجهيزات</w:t>
        <w:br/>
      </w:r>
      <w:r>
        <w:rPr>
          <w:rFonts w:ascii="Arial" w:hAnsi="Arial"/>
          <w:b/>
          <w:color w:val="C59B27"/>
          <w:sz w:val="19"/>
        </w:rPr>
        <w:t>هيئة الشراء الموحد (UPA) / المعهد القومي لأبحاث الكبد  |  فبراير 2026 – حتى الآن | القاهرة</w:t>
      </w:r>
    </w:p>
    <w:tbl>
      <w:tblPr>
        <w:tblW w:type="auto" w:w="0"/>
        <w:jc w:val="center"/>
        <w:tblLook w:firstColumn="1" w:firstRow="1" w:lastColumn="0" w:lastRow="0" w:noHBand="0" w:noVBand="1" w:val="04A0"/>
      </w:tblPr>
      <w:tblGrid>
        <w:gridCol w:w="10224"/>
      </w:tblGrid>
      <w:tr>
        <w:tc>
          <w:tcPr>
            <w:tcW w:type="dxa" w:w="10224"/>
            <w:shd w:fill="E8F5E9"/>
            <w:tcMar>
              <w:top w:w="60" w:type="dxa"/>
              <w:bottom w:w="60" w:type="dxa"/>
              <w:left w:w="150" w:type="dxa"/>
              <w:right w:w="150" w:type="dxa"/>
            </w:tcMar>
          </w:tcPr>
          <w:p>
            <w:pPr>
              <w:jc w:val="right"/>
            </w:pPr>
            <w:r>
              <w:rPr>
                <w:rFonts w:ascii="Arial" w:hAnsi="Arial"/>
                <w:b/>
                <w:color w:val="146428"/>
                <w:sz w:val="18"/>
              </w:rPr>
              <w:t>★ إنجاز قياسي: إنهاء وتسوية أزمة مخزنية ورقابية بقيمة 600 مليون جنيه مصري في أقل من 10 ساعات بمفرده</w:t>
            </w:r>
          </w:p>
        </w:tc>
      </w:tr>
    </w:tbl>
    <w:p>
      <w:pPr>
        <w:spacing w:after="40"/>
        <w:jc w:val="right"/>
      </w:pPr>
      <w:r>
        <w:rPr>
          <w:rFonts w:ascii="Arial" w:hAnsi="Arial"/>
          <w:b/>
          <w:color w:val="C59B27"/>
        </w:rPr>
        <w:t xml:space="preserve">• </w:t>
      </w:r>
      <w:r>
        <w:rPr>
          <w:rFonts w:ascii="Arial" w:hAnsi="Arial"/>
          <w:color w:val="282D37"/>
          <w:sz w:val="18"/>
        </w:rPr>
        <w:t>حل أزمة الـ 600 مليون جنيه في أقل من 10 ساعات: النجاح الفردي في فحص وتفكيك معضلة رقابية خطيرة تمثلت في وجود قيود بسجلات مخزنية بقيمة 600 مليون جنيه مسجلة كأصناف منتهية الصلاحية بمخازن المعامل والـ CDC، وإغلاق الملف وتصحيحه بالكامل في 10 ساعات متواصلة.</w:t>
      </w:r>
    </w:p>
    <w:p>
      <w:pPr>
        <w:spacing w:after="40"/>
        <w:jc w:val="right"/>
      </w:pPr>
      <w:r>
        <w:rPr>
          <w:rFonts w:ascii="Arial" w:hAnsi="Arial"/>
          <w:b/>
          <w:color w:val="C59B27"/>
        </w:rPr>
        <w:t xml:space="preserve">• </w:t>
      </w:r>
      <w:r>
        <w:rPr>
          <w:rFonts w:ascii="Arial" w:hAnsi="Arial"/>
          <w:color w:val="282D37"/>
          <w:sz w:val="18"/>
        </w:rPr>
        <w:t>التسوية والحماية المؤسسية والقانونية: مطابقة السجلات الرقمية مع قواعد بيانات هيئة الشراء الموحد وتوفيق الجرود الفعلية، مما وفّر حماية قانونية ورقابية كاملة للقيادات التنفيذية بـ GOTHI والمعهد والـ CDC من عقوبات ومساءلات جسيمة.</w:t>
      </w:r>
    </w:p>
    <w:p>
      <w:pPr>
        <w:spacing w:after="40"/>
        <w:jc w:val="right"/>
      </w:pPr>
      <w:r>
        <w:rPr>
          <w:rFonts w:ascii="Arial" w:hAnsi="Arial"/>
          <w:b/>
          <w:color w:val="C59B27"/>
        </w:rPr>
        <w:t xml:space="preserve">• </w:t>
      </w:r>
      <w:r>
        <w:rPr>
          <w:rFonts w:ascii="Arial" w:hAnsi="Arial"/>
          <w:color w:val="282D37"/>
          <w:sz w:val="18"/>
        </w:rPr>
        <w:t>الترقية الفورية: النقل والترقية الفورية إلى الفريق العلمي بـ CDC تقديراً للقدرات الاستثنائية في إدارة الأزمات والتحليل الدقيق تحت الضغط الحرج.</w:t>
      </w:r>
    </w:p>
    <w:p>
      <w:pPr>
        <w:spacing w:before="160" w:after="40"/>
        <w:jc w:val="right"/>
      </w:pPr>
      <w:r>
        <w:rPr>
          <w:rFonts w:ascii="Arial" w:hAnsi="Arial"/>
          <w:b/>
          <w:color w:val="0F2C59"/>
          <w:sz w:val="22"/>
        </w:rPr>
        <w:t>عضو الإدارة التجارية وعمليات التطوير الاستراتيجي (Commercial Management)</w:t>
        <w:br/>
      </w:r>
      <w:r>
        <w:rPr>
          <w:rFonts w:ascii="Arial" w:hAnsi="Arial"/>
          <w:b/>
          <w:color w:val="C59B27"/>
          <w:sz w:val="19"/>
        </w:rPr>
        <w:t>صيدليات سيف (SEIF Pharmacies) – الإدارة المركزية  |  2026 – حتى الآن | القاهرة</w:t>
      </w:r>
    </w:p>
    <w:p>
      <w:pPr>
        <w:spacing w:after="40"/>
        <w:jc w:val="right"/>
      </w:pPr>
      <w:r>
        <w:rPr>
          <w:rFonts w:ascii="Arial" w:hAnsi="Arial"/>
          <w:b/>
          <w:color w:val="C59B27"/>
        </w:rPr>
        <w:t xml:space="preserve">• </w:t>
      </w:r>
      <w:r>
        <w:rPr>
          <w:rFonts w:ascii="Arial" w:hAnsi="Arial"/>
          <w:color w:val="282D37"/>
          <w:sz w:val="18"/>
        </w:rPr>
        <w:t>التخطيط التجاري والتشغيلي: المساهمة في العمليات التجارية واتخاذ القرارات الاستراتيجية التسويقية والبيعية لواحدة من أضخم سلاسل الصيدليات في مصر (تضم قرابة 60 فرعاً).</w:t>
      </w:r>
    </w:p>
    <w:p>
      <w:pPr>
        <w:spacing w:after="40"/>
        <w:jc w:val="right"/>
      </w:pPr>
      <w:r>
        <w:rPr>
          <w:rFonts w:ascii="Arial" w:hAnsi="Arial"/>
          <w:b/>
          <w:color w:val="C59B27"/>
        </w:rPr>
        <w:t xml:space="preserve">• </w:t>
      </w:r>
      <w:r>
        <w:rPr>
          <w:rFonts w:ascii="Arial" w:hAnsi="Arial"/>
          <w:color w:val="282D37"/>
          <w:sz w:val="18"/>
        </w:rPr>
        <w:t>إدارة الموردين والربحية: التفاوض التجاري مع كبرى شركات الأدوية، وتعظيم هوامش الربحية، وتحسين معدلات دوران المخزون السلعي.</w:t>
      </w:r>
    </w:p>
    <w:p>
      <w:pPr>
        <w:spacing w:before="160" w:after="40"/>
        <w:jc w:val="right"/>
      </w:pPr>
      <w:r>
        <w:rPr>
          <w:rFonts w:ascii="Arial" w:hAnsi="Arial"/>
          <w:b/>
          <w:color w:val="0F2C59"/>
          <w:sz w:val="22"/>
        </w:rPr>
        <w:t>المؤسس والرئيس التنفيذي (Founder &amp; CEO)</w:t>
        <w:br/>
      </w:r>
      <w:r>
        <w:rPr>
          <w:rFonts w:ascii="Arial" w:hAnsi="Arial"/>
          <w:b/>
          <w:color w:val="C59B27"/>
          <w:sz w:val="19"/>
        </w:rPr>
        <w:t>مجموعة العبد يونيميد للخدمات الإدارية وتكنولوجيا الرعاية الصحية (Al-Abd Unimed)  |  2020 – حتى الآن | المنيا / القاهرة</w:t>
      </w:r>
    </w:p>
    <w:p>
      <w:pPr>
        <w:spacing w:after="40"/>
        <w:jc w:val="right"/>
      </w:pPr>
      <w:r>
        <w:rPr>
          <w:rFonts w:ascii="Arial" w:hAnsi="Arial"/>
          <w:b/>
          <w:color w:val="C59B27"/>
        </w:rPr>
        <w:t xml:space="preserve">• </w:t>
      </w:r>
      <w:r>
        <w:rPr>
          <w:rFonts w:ascii="Arial" w:hAnsi="Arial"/>
          <w:color w:val="282D37"/>
          <w:sz w:val="18"/>
        </w:rPr>
        <w:t>تأسيس وإدارة مجموعة صحية وتقنية متكاملة تضم سلسلة صيدليات (5 فروع بالمنيا)، مستودع توزيع أدوية، مركز طبي متطور، وحلولاً برمجية نوعية.</w:t>
      </w:r>
    </w:p>
    <w:p>
      <w:pPr>
        <w:spacing w:after="40"/>
        <w:jc w:val="right"/>
      </w:pPr>
      <w:r>
        <w:rPr>
          <w:rFonts w:ascii="Arial" w:hAnsi="Arial"/>
          <w:b/>
          <w:color w:val="C59B27"/>
        </w:rPr>
        <w:t xml:space="preserve">• </w:t>
      </w:r>
      <w:r>
        <w:rPr>
          <w:rFonts w:ascii="Arial" w:hAnsi="Arial"/>
          <w:color w:val="282D37"/>
          <w:sz w:val="18"/>
        </w:rPr>
        <w:t>برمجة خوارزمية إعادة توزيع المخزون (Python): تطوير نظام برمجي بلغة Python لإعادة التوزيع الآلي للمخزون الدوائي لشبكة تتألف من 60 فرعاً، مقلصاً الرواكد والتوالف وضامناً وفرة الأصناف الحيوية.</w:t>
      </w:r>
    </w:p>
    <w:p>
      <w:pPr>
        <w:spacing w:after="40"/>
        <w:jc w:val="right"/>
      </w:pPr>
      <w:r>
        <w:rPr>
          <w:rFonts w:ascii="Arial" w:hAnsi="Arial"/>
          <w:b/>
          <w:color w:val="C59B27"/>
        </w:rPr>
        <w:t xml:space="preserve">• </w:t>
      </w:r>
      <w:r>
        <w:rPr>
          <w:rFonts w:ascii="Arial" w:hAnsi="Arial"/>
          <w:color w:val="282D37"/>
          <w:sz w:val="18"/>
        </w:rPr>
        <w:t>تطوير المنصات الصحية الرقمية: قيادة تطوير منصات وتطبيقات سحابية متقدمة (AU MED و AU Business) لتقديم خدمات طبية وإدارية مؤتمتة للمؤسسات والجمهور.</w:t>
      </w:r>
    </w:p>
    <w:p>
      <w:pPr>
        <w:spacing w:before="160" w:after="40"/>
        <w:jc w:val="right"/>
      </w:pPr>
      <w:r>
        <w:rPr>
          <w:rFonts w:ascii="Arial" w:hAnsi="Arial"/>
          <w:b/>
          <w:color w:val="0F2C59"/>
          <w:sz w:val="22"/>
        </w:rPr>
        <w:t>صيدلي إكلينيكي ومؤسسي</w:t>
        <w:br/>
      </w:r>
      <w:r>
        <w:rPr>
          <w:rFonts w:ascii="Arial" w:hAnsi="Arial"/>
          <w:b/>
          <w:color w:val="C59B27"/>
          <w:sz w:val="19"/>
        </w:rPr>
        <w:t>المعهد القومي لأبحاث الكبد (2017 – 2026)  |  معهد القلب القومي (2017)  |  2017 – 2026 | القاهرة</w:t>
      </w:r>
    </w:p>
    <w:p>
      <w:pPr>
        <w:spacing w:after="40"/>
        <w:jc w:val="right"/>
      </w:pPr>
      <w:r>
        <w:rPr>
          <w:rFonts w:ascii="Arial" w:hAnsi="Arial"/>
          <w:b/>
          <w:color w:val="C59B27"/>
        </w:rPr>
        <w:t xml:space="preserve">• </w:t>
      </w:r>
      <w:r>
        <w:rPr>
          <w:rFonts w:ascii="Arial" w:hAnsi="Arial"/>
          <w:color w:val="282D37"/>
          <w:sz w:val="18"/>
        </w:rPr>
        <w:t>صرف وتدقيق العلاجات التخصصية والبروتوكولات لمرضى الكبد والحالات القلبية الحرجة، وضبط الجرود وسلاسل الإمداد الداخلية والممارسة الصيدلية الرشيدة.</w:t>
      </w:r>
    </w:p>
    <w:p>
      <w:pPr>
        <w:spacing w:after="40"/>
        <w:jc w:val="right"/>
      </w:pPr>
      <w:r>
        <w:rPr>
          <w:rFonts w:ascii="Arial" w:hAnsi="Arial"/>
          <w:b/>
          <w:color w:val="C59B27"/>
        </w:rPr>
        <w:t xml:space="preserve">• </w:t>
      </w:r>
      <w:r>
        <w:rPr>
          <w:rFonts w:ascii="Arial" w:hAnsi="Arial"/>
          <w:color w:val="282D37"/>
          <w:sz w:val="18"/>
        </w:rPr>
        <w:t>خبرات مبكرة: صيدلي بصيدليات د. شعبان بكر (2014 – 2017)، ومساعد صيدلي بصيدلية د. أدهم سيف (2013 – 2014).</w:t>
      </w:r>
    </w:p>
    <w:p>
      <w:pPr>
        <w:spacing w:before="200" w:after="80"/>
        <w:jc w:val="right"/>
        <w:pBdr>
          <w:bottom w:val="single" w:sz="12" w:space="4" w:color="0F2C59"/>
        </w:pBdr>
      </w:pPr>
      <w:r>
        <w:rPr>
          <w:rFonts w:ascii="Arial" w:hAnsi="Arial"/>
          <w:b/>
          <w:color w:val="0F2C59"/>
          <w:sz w:val="26"/>
        </w:rPr>
        <w:t>البحث والإنتاج العلمي (Scientific Research)</w:t>
      </w:r>
    </w:p>
    <w:p>
      <w:pPr>
        <w:jc w:val="right"/>
      </w:pPr>
      <w:r>
        <w:rPr>
          <w:rFonts w:ascii="Arial" w:hAnsi="Arial"/>
          <w:color w:val="282D37"/>
          <w:sz w:val="19"/>
        </w:rPr>
        <w:t>ورقة بحثية علمية أصلية قيد النشر في مجلات دولية محكمة (Peer-Reviewed International Journals):</w:t>
        <w:br/>
        <w:t>«تطبيقات الاقتصاد الدائري في سلاسل الإمداد والتوزيع الدوائي» (Applications of the Circular Economy in Pharmaceutical Supply and Distribution Chains)</w:t>
        <w:br/>
        <w:t>دراسة منهجية مبتكرة لتطوير نماذج رقمية ولوجستية مستدامة تهدف إلى القضاء على الهدر الدوائي، وإعادة تدوير الموارد، وتحسين الكفاءة الاقتصادية في القطاع الصحي.</w:t>
      </w:r>
    </w:p>
    <w:p>
      <w:pPr>
        <w:spacing w:before="200" w:after="80"/>
        <w:jc w:val="right"/>
        <w:pBdr>
          <w:bottom w:val="single" w:sz="12" w:space="4" w:color="0F2C59"/>
        </w:pBdr>
      </w:pPr>
      <w:r>
        <w:rPr>
          <w:rFonts w:ascii="Arial" w:hAnsi="Arial"/>
          <w:b/>
          <w:color w:val="0F2C59"/>
          <w:sz w:val="26"/>
        </w:rPr>
        <w:t>التعليم والمؤهلات والمهارات (Education &amp; Skills)</w:t>
      </w:r>
    </w:p>
    <w:p>
      <w:pPr>
        <w:spacing w:after="40"/>
        <w:jc w:val="right"/>
      </w:pPr>
      <w:r>
        <w:rPr>
          <w:rFonts w:ascii="Arial" w:hAnsi="Arial"/>
          <w:color w:val="282D37"/>
          <w:sz w:val="19"/>
        </w:rPr>
        <w:t>• بكالوريوس العلوم الصيدلية (الصيدلة الإكلينيكية – Clinical Pharmacy) | جامعة النهضة (NUB)، بني سويف (2013 – 2017)</w:t>
        <w:br/>
        <w:t>• الرخصة الدولية لقيادة الحاسب الآلي المتقدمة (ICDL)  |  شهادة معتمدة في إدارة العلاقات والشراكات المؤسسية (Relationship Management)</w:t>
        <w:br/>
        <w:t>• تطوير البرمجيات وتحليل البيانات الصحية بلغة Python، نظم الـ ERP المخصصة، وأتمتة معالجة الدُفعات (Batch Processing)</w:t>
        <w:br/>
        <w:t>• المعايير الرقابية لهيئة الشراء الموحد (UPA)، حوكمة المستودعات الطبية، وتسوية النزاعات والجرد الرقمي</w:t>
        <w:br/>
        <w:t>• اللغات: العربية (اللغة الأم)، الإنجليزية (مستوى متقدم احترافي - Advanced Professional Proficiency)</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