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F2C59"/>
          <w:sz w:val="44"/>
        </w:rPr>
        <w:t>Dr. Mahmoud Abdelrahman Hammam Abdelrahman</w:t>
      </w:r>
    </w:p>
    <w:p>
      <w:pPr>
        <w:jc w:val="left"/>
      </w:pPr>
      <w:r>
        <w:rPr>
          <w:rFonts w:ascii="Calibri" w:hAnsi="Calibri"/>
          <w:b/>
          <w:color w:val="B45309"/>
          <w:sz w:val="21"/>
        </w:rPr>
        <w:t>Healthcare Technology Consultant &amp; Digital Health Transformation Leader | UPA Regulatory Inspector</w:t>
        <w:br/>
        <w:t>Advisor to the Dean &amp; Director of Technological Affairs (NHTMRI) | Scientific Director, Egyptian CDC | Founder &amp; CEO, Al-Abd Unimed</w:t>
      </w:r>
    </w:p>
    <w:tbl>
      <w:tblPr>
        <w:tblW w:type="auto" w:w="0"/>
        <w:jc w:val="center"/>
        <w:tblLook w:firstColumn="1" w:firstRow="1" w:lastColumn="0" w:lastRow="0" w:noHBand="0" w:noVBand="1" w:val="04A0"/>
      </w:tblPr>
      <w:tblGrid>
        <w:gridCol w:w="10224"/>
      </w:tblGrid>
      <w:tr>
        <w:tc>
          <w:tcPr>
            <w:tcW w:type="dxa" w:w="10224"/>
            <w:shd w:fill="F0F4F8"/>
            <w:tcMar>
              <w:top w:w="120" w:type="dxa"/>
              <w:bottom w:w="120" w:type="dxa"/>
              <w:left w:w="200" w:type="dxa"/>
              <w:right w:w="200" w:type="dxa"/>
            </w:tcMar>
          </w:tcPr>
          <w:p>
            <w:pPr>
              <w:jc w:val="left"/>
            </w:pPr>
            <w:r>
              <w:rPr>
                <w:rFonts w:ascii="Calibri" w:hAnsi="Calibri"/>
                <w:b/>
                <w:color w:val="0F2C59"/>
                <w:sz w:val="19"/>
              </w:rPr>
              <w:t>Giza / Cairo, Egypt  |  Phone/WhatsApp: (+20) 01010436430  |  Email: Drfifty.mido@gmail.com  |  Degree: B.Pharm (Clinical Pharmacy)</w:t>
            </w:r>
          </w:p>
        </w:tc>
      </w:tr>
    </w:tbl>
    <w:p/>
    <w:p>
      <w:pPr>
        <w:spacing w:before="200" w:after="80"/>
        <w:jc w:val="left"/>
        <w:pBdr>
          <w:bottom w:val="single" w:sz="12" w:space="4" w:color="0F2C59"/>
        </w:pBdr>
      </w:pPr>
      <w:r>
        <w:rPr>
          <w:rFonts w:ascii="Calibri" w:hAnsi="Calibri"/>
          <w:b/>
          <w:color w:val="0F2C59"/>
          <w:sz w:val="25"/>
        </w:rPr>
        <w:t>EXECUTIVE PROFILE</w:t>
      </w:r>
    </w:p>
    <w:p>
      <w:pPr>
        <w:spacing w:line="288" w:lineRule="auto"/>
        <w:jc w:val="both"/>
      </w:pPr>
      <w:r>
        <w:rPr>
          <w:rFonts w:ascii="Calibri" w:hAnsi="Calibri"/>
          <w:color w:val="282D37"/>
          <w:sz w:val="19"/>
        </w:rPr>
        <w:t>Visionary Healthcare Technology Leader, Regulatory Inspector, and Innovative Clinical Pharmacist with over 10 years of multi-disciplinary excellence spanning digital health transformation, high-stakes regulatory compliance (Unified Procurement Authority - UPA), custom ERP and automation engineering (Python), national genomic screening program leadership, commercial pharmacy chain management, and health-tech entrepreneurship.</w:t>
        <w:br/>
        <w:br/>
        <w:t>Possesses an unprecedented track record in high-level crisis management and executive risk mitigation—highlighted by single-handedly auditing, reconciling, and resolving a 600 Million EGP regulatory inventory crisis in less than 10 consecutive hours, legally protecting executive leadership across governmental healthcare entities from severe liabilities. Architect of breakthrough automation platforms, notably developing a national diagnostic automation tool on Day 4 that transformed days of manual genetic reporting for nationwide newborn screening into seconds with 0.00% error rate directly integrated into the Ministry of Health portal, and engineering a full-lifecycle Custom Contract &amp; Vendor ERP. Appointed by executive directive as Senior Advisor to the Dean &amp; Director of Technological Affairs across all 3 branches of NHTMRI. Founder &amp; CEO of Al-Abd Unimed health-tech group, key contributor to the commercial management of SEIF Pharmacies (60 branches), and primary author of pioneering research on circular economy applications in pharmaceutical supply chains targeted for top-tier international journals.</w:t>
      </w:r>
    </w:p>
    <w:p>
      <w:pPr>
        <w:spacing w:before="200" w:after="80"/>
        <w:jc w:val="left"/>
        <w:pBdr>
          <w:bottom w:val="single" w:sz="12" w:space="4" w:color="0F2C59"/>
        </w:pBdr>
      </w:pPr>
      <w:r>
        <w:rPr>
          <w:rFonts w:ascii="Calibri" w:hAnsi="Calibri"/>
          <w:b/>
          <w:color w:val="0F2C59"/>
          <w:sz w:val="25"/>
        </w:rPr>
        <w:t>CORE COMPETENCIES &amp; AREAS OF EXPERTISE</w:t>
      </w:r>
    </w:p>
    <w:p>
      <w:pPr>
        <w:spacing w:after="50"/>
        <w:jc w:val="left"/>
      </w:pPr>
      <w:r>
        <w:rPr>
          <w:rFonts w:ascii="Calibri" w:hAnsi="Calibri"/>
          <w:b/>
          <w:color w:val="0F2C59"/>
          <w:sz w:val="19"/>
        </w:rPr>
        <w:t xml:space="preserve">■ Strategic Digital Health Leadership: </w:t>
      </w:r>
      <w:r>
        <w:rPr>
          <w:rFonts w:ascii="Calibri" w:hAnsi="Calibri"/>
          <w:color w:val="282D37"/>
          <w:sz w:val="19"/>
        </w:rPr>
        <w:t>Digital transformation roadmaps, executive &amp; ministerial decision support, multi-branch healthcare systems governance.</w:t>
      </w:r>
    </w:p>
    <w:p>
      <w:pPr>
        <w:spacing w:after="50"/>
        <w:jc w:val="left"/>
      </w:pPr>
      <w:r>
        <w:rPr>
          <w:rFonts w:ascii="Calibri" w:hAnsi="Calibri"/>
          <w:b/>
          <w:color w:val="0F2C59"/>
          <w:sz w:val="19"/>
        </w:rPr>
        <w:t xml:space="preserve">■ Custom ERP &amp; Automation Architecture: </w:t>
      </w:r>
      <w:r>
        <w:rPr>
          <w:rFonts w:ascii="Calibri" w:hAnsi="Calibri"/>
          <w:color w:val="282D37"/>
          <w:sz w:val="19"/>
        </w:rPr>
        <w:t>Contract &amp; Vendor Management Systems, automated batch processing engines, and real-time clinical data pipelines.</w:t>
      </w:r>
    </w:p>
    <w:p>
      <w:pPr>
        <w:spacing w:after="50"/>
        <w:jc w:val="left"/>
      </w:pPr>
      <w:r>
        <w:rPr>
          <w:rFonts w:ascii="Calibri" w:hAnsi="Calibri"/>
          <w:b/>
          <w:color w:val="0F2C59"/>
          <w:sz w:val="19"/>
        </w:rPr>
        <w:t xml:space="preserve">■ High-Stakes Crisis Management &amp; Compliance: </w:t>
      </w:r>
      <w:r>
        <w:rPr>
          <w:rFonts w:ascii="Calibri" w:hAnsi="Calibri"/>
          <w:color w:val="282D37"/>
          <w:sz w:val="19"/>
        </w:rPr>
        <w:t>UPA regulatory inspections, forensic warehouse auditing, digital-to-physical inventory reconciliation, and executive legal shielding.</w:t>
      </w:r>
    </w:p>
    <w:p>
      <w:pPr>
        <w:spacing w:after="50"/>
        <w:jc w:val="left"/>
      </w:pPr>
      <w:r>
        <w:rPr>
          <w:rFonts w:ascii="Calibri" w:hAnsi="Calibri"/>
          <w:b/>
          <w:color w:val="0F2C59"/>
          <w:sz w:val="19"/>
        </w:rPr>
        <w:t xml:space="preserve">■ Genomic Diagnostics &amp; CDC Governance: </w:t>
      </w:r>
      <w:r>
        <w:rPr>
          <w:rFonts w:ascii="Calibri" w:hAnsi="Calibri"/>
          <w:color w:val="282D37"/>
          <w:sz w:val="19"/>
        </w:rPr>
        <w:t>Nationwide newborn genetic screening, early oncology detection programs, and automated Ministry of Health database synchronization.</w:t>
      </w:r>
    </w:p>
    <w:p>
      <w:pPr>
        <w:spacing w:after="50"/>
        <w:jc w:val="left"/>
      </w:pPr>
      <w:r>
        <w:rPr>
          <w:rFonts w:ascii="Calibri" w:hAnsi="Calibri"/>
          <w:b/>
          <w:color w:val="0F2C59"/>
          <w:sz w:val="19"/>
        </w:rPr>
        <w:t xml:space="preserve">■ Pharma Supply Chain Optimization &amp; Circular Economy: </w:t>
      </w:r>
      <w:r>
        <w:rPr>
          <w:rFonts w:ascii="Calibri" w:hAnsi="Calibri"/>
          <w:color w:val="282D37"/>
          <w:sz w:val="19"/>
        </w:rPr>
        <w:t>Python-based automated redistribution algorithms across large networks (60 branches), minimizing waste.</w:t>
      </w:r>
    </w:p>
    <w:p>
      <w:pPr>
        <w:spacing w:after="50"/>
        <w:jc w:val="left"/>
      </w:pPr>
      <w:r>
        <w:rPr>
          <w:rFonts w:ascii="Calibri" w:hAnsi="Calibri"/>
          <w:b/>
          <w:color w:val="0F2C59"/>
          <w:sz w:val="19"/>
        </w:rPr>
        <w:t xml:space="preserve">■ Commercial Retail &amp; Health-Tech Startups: </w:t>
      </w:r>
      <w:r>
        <w:rPr>
          <w:rFonts w:ascii="Calibri" w:hAnsi="Calibri"/>
          <w:color w:val="282D37"/>
          <w:sz w:val="19"/>
        </w:rPr>
        <w:t>Commercial management of large-scale pharmacy chains, startup scaling, and developing proprietary platforms (AU MED &amp; AU Business).</w:t>
      </w:r>
    </w:p>
    <w:p>
      <w:pPr>
        <w:spacing w:before="200" w:after="80"/>
        <w:jc w:val="left"/>
        <w:pBdr>
          <w:bottom w:val="single" w:sz="12" w:space="4" w:color="0F2C59"/>
        </w:pBdr>
      </w:pPr>
      <w:r>
        <w:rPr>
          <w:rFonts w:ascii="Calibri" w:hAnsi="Calibri"/>
          <w:b/>
          <w:color w:val="0F2C59"/>
          <w:sz w:val="25"/>
        </w:rPr>
        <w:t>EXECUTIVE &amp; PROFESSIONAL EXPERIENCE</w:t>
      </w:r>
    </w:p>
    <w:p>
      <w:pPr>
        <w:spacing w:before="140" w:after="40"/>
        <w:jc w:val="left"/>
      </w:pPr>
      <w:r>
        <w:rPr>
          <w:rFonts w:ascii="Calibri" w:hAnsi="Calibri"/>
          <w:b/>
          <w:color w:val="0F2C59"/>
          <w:sz w:val="21"/>
        </w:rPr>
        <w:t>Advisor to the Dean | Director of Technological Affairs</w:t>
        <w:br/>
      </w:r>
      <w:r>
        <w:rPr>
          <w:rFonts w:ascii="Calibri" w:hAnsi="Calibri"/>
          <w:b/>
          <w:color w:val="B45309"/>
          <w:sz w:val="18"/>
        </w:rPr>
        <w:t>National Hepatology &amp; Tropical Medicine Research Institute (NHTMRI) – GOTHI  |  2026 – Present | Cairo, Egypt</w:t>
      </w:r>
    </w:p>
    <w:p>
      <w:pPr>
        <w:spacing w:after="40"/>
        <w:jc w:val="both"/>
      </w:pPr>
      <w:r>
        <w:rPr>
          <w:rFonts w:ascii="Calibri" w:hAnsi="Calibri"/>
          <w:b/>
          <w:color w:val="B45309"/>
        </w:rPr>
        <w:t xml:space="preserve">• </w:t>
      </w:r>
      <w:r>
        <w:rPr>
          <w:rFonts w:ascii="Calibri" w:hAnsi="Calibri"/>
          <w:color w:val="282D37"/>
          <w:sz w:val="18"/>
        </w:rPr>
        <w:t>Executive Technological Direction: Appointed directly by the Dean to spearhead the institute's technological strategy, lead digital transformation, and oversee systems architecture across all 3 institute branches, serving as principal technology advisor to senior leadership.</w:t>
      </w:r>
    </w:p>
    <w:p>
      <w:pPr>
        <w:spacing w:after="40"/>
        <w:jc w:val="both"/>
      </w:pPr>
      <w:r>
        <w:rPr>
          <w:rFonts w:ascii="Calibri" w:hAnsi="Calibri"/>
          <w:b/>
          <w:color w:val="B45309"/>
        </w:rPr>
        <w:t xml:space="preserve">• </w:t>
      </w:r>
      <w:r>
        <w:rPr>
          <w:rFonts w:ascii="Calibri" w:hAnsi="Calibri"/>
          <w:color w:val="282D37"/>
          <w:sz w:val="18"/>
        </w:rPr>
        <w:t>Architected Custom Contract &amp; Vendor ERP: Conceived, designed, and deployed a centralized, custom software engine to govern all contracts, tenders, and vendor agreements between the institute and partner companies, completely eliminating paperwork bottlenecks and ensuring 100% automated regulatory and fiscal compliance.</w:t>
      </w:r>
    </w:p>
    <w:p>
      <w:pPr>
        <w:spacing w:after="40"/>
        <w:jc w:val="both"/>
      </w:pPr>
      <w:r>
        <w:rPr>
          <w:rFonts w:ascii="Calibri" w:hAnsi="Calibri"/>
          <w:b/>
          <w:color w:val="B45309"/>
        </w:rPr>
        <w:t xml:space="preserve">• </w:t>
      </w:r>
      <w:r>
        <w:rPr>
          <w:rFonts w:ascii="Calibri" w:hAnsi="Calibri"/>
          <w:color w:val="282D37"/>
          <w:sz w:val="18"/>
        </w:rPr>
        <w:t>Infrastructure Modernization: Formulated and executed institute-wide infrastructure and software upgrades across all branches to elevate diagnostic throughput and clinical care.</w:t>
      </w:r>
    </w:p>
    <w:p>
      <w:pPr>
        <w:spacing w:before="140" w:after="40"/>
        <w:jc w:val="left"/>
      </w:pPr>
      <w:r>
        <w:rPr>
          <w:rFonts w:ascii="Calibri" w:hAnsi="Calibri"/>
          <w:b/>
          <w:color w:val="0F2C59"/>
          <w:sz w:val="21"/>
        </w:rPr>
        <w:t>Scientific Director – National Newborn Screening &amp; Presidential Initiatives Teams</w:t>
        <w:br/>
      </w:r>
      <w:r>
        <w:rPr>
          <w:rFonts w:ascii="Calibri" w:hAnsi="Calibri"/>
          <w:b/>
          <w:color w:val="B45309"/>
          <w:sz w:val="18"/>
        </w:rPr>
        <w:t>Egyptian Center for Disease Control and Prevention (CDC) – NHTMRI  |  2026 – Present | Cairo, Egypt</w:t>
      </w:r>
    </w:p>
    <w:p>
      <w:pPr>
        <w:spacing w:after="40"/>
        <w:jc w:val="both"/>
      </w:pPr>
      <w:r>
        <w:rPr>
          <w:rFonts w:ascii="Calibri" w:hAnsi="Calibri"/>
          <w:b/>
          <w:color w:val="B45309"/>
        </w:rPr>
        <w:t xml:space="preserve">• </w:t>
      </w:r>
      <w:r>
        <w:rPr>
          <w:rFonts w:ascii="Calibri" w:hAnsi="Calibri"/>
          <w:color w:val="282D37"/>
          <w:sz w:val="18"/>
        </w:rPr>
        <w:t>National Program Oversight: Directing the scientific and operational teams responsible for controlling genetic disorders in newborns, early cancer detection programs, the Premarital Screening Initiative, and presidential health campaigns utilizing cutting-edge biotechnology and high-throughput DNA analysis.</w:t>
      </w:r>
    </w:p>
    <w:p>
      <w:pPr>
        <w:spacing w:after="40"/>
        <w:jc w:val="both"/>
      </w:pPr>
      <w:r>
        <w:rPr>
          <w:rFonts w:ascii="Calibri" w:hAnsi="Calibri"/>
          <w:b/>
          <w:color w:val="B45309"/>
        </w:rPr>
        <w:t xml:space="preserve">• </w:t>
      </w:r>
      <w:r>
        <w:rPr>
          <w:rFonts w:ascii="Calibri" w:hAnsi="Calibri"/>
          <w:color w:val="282D37"/>
          <w:sz w:val="18"/>
        </w:rPr>
        <w:t>Mastered End-to-End National Workflow in 72 Hours: Audited, analyzed, and achieved total operational governance over Egypt’s nationwide newborn genetic screening program covering all governorates within just 3 training days.</w:t>
      </w:r>
    </w:p>
    <w:p>
      <w:pPr>
        <w:spacing w:after="40"/>
        <w:jc w:val="both"/>
      </w:pPr>
      <w:r>
        <w:rPr>
          <w:rFonts w:ascii="Calibri" w:hAnsi="Calibri"/>
          <w:b/>
          <w:color w:val="B45309"/>
        </w:rPr>
        <w:t xml:space="preserve">• </w:t>
      </w:r>
      <w:r>
        <w:rPr>
          <w:rFonts w:ascii="Calibri" w:hAnsi="Calibri"/>
          <w:color w:val="282D37"/>
          <w:sz w:val="18"/>
        </w:rPr>
        <w:t>Pioneered Nationwide Diagnostic Automation Tool (Day 4 Breakthrough): Developed and deployed an ultra-precise automated diagnostics engine on Day 4 to bridge a severe nationwide shortage of certified medical doctors, transforming days of manual entry into a single-click operation completed in seconds with 100% accuracy (0.00% error rate) directly uploaded to the Ministry of Health portal.</w:t>
      </w:r>
    </w:p>
    <w:p>
      <w:pPr>
        <w:spacing w:after="40"/>
        <w:jc w:val="both"/>
      </w:pPr>
      <w:r>
        <w:rPr>
          <w:rFonts w:ascii="Calibri" w:hAnsi="Calibri"/>
          <w:b/>
          <w:color w:val="B45309"/>
        </w:rPr>
        <w:t xml:space="preserve">• </w:t>
      </w:r>
      <w:r>
        <w:rPr>
          <w:rFonts w:ascii="Calibri" w:hAnsi="Calibri"/>
          <w:color w:val="282D37"/>
          <w:sz w:val="18"/>
        </w:rPr>
        <w:t>Accelerated Executive Promotion: Breakthrough presented directly to the Director of Egyptian CDC (Assistant Minister of Health) and the Dean, leading to an immediate executive directive promoting Dr. Hammam to Dean's Advisor and Tech Affairs Director.</w:t>
      </w:r>
    </w:p>
    <w:p>
      <w:pPr>
        <w:spacing w:before="140" w:after="40"/>
        <w:jc w:val="left"/>
      </w:pPr>
      <w:r>
        <w:rPr>
          <w:rFonts w:ascii="Calibri" w:hAnsi="Calibri"/>
          <w:b/>
          <w:color w:val="0F2C59"/>
          <w:sz w:val="21"/>
        </w:rPr>
        <w:t>Pharmacist Inspector — Drug Stores, Laboratories, and Medical Equipment</w:t>
        <w:br/>
      </w:r>
      <w:r>
        <w:rPr>
          <w:rFonts w:ascii="Calibri" w:hAnsi="Calibri"/>
          <w:b/>
          <w:color w:val="B45309"/>
          <w:sz w:val="18"/>
        </w:rPr>
        <w:t>Unified Procurement Authority (UPA) / NHTMRI  |  Feb 2026 – Present | Cairo, Egypt</w:t>
      </w:r>
    </w:p>
    <w:tbl>
      <w:tblPr>
        <w:tblW w:type="auto" w:w="0"/>
        <w:jc w:val="center"/>
        <w:tblLook w:firstColumn="1" w:firstRow="1" w:lastColumn="0" w:lastRow="0" w:noHBand="0" w:noVBand="1" w:val="04A0"/>
      </w:tblPr>
      <w:tblGrid>
        <w:gridCol w:w="10224"/>
      </w:tblGrid>
      <w:tr>
        <w:tc>
          <w:tcPr>
            <w:tcW w:type="dxa" w:w="10224"/>
            <w:shd w:fill="E8F5E9"/>
            <w:tcMar>
              <w:top w:w="50" w:type="dxa"/>
              <w:bottom w:w="50" w:type="dxa"/>
              <w:left w:w="150" w:type="dxa"/>
              <w:right w:w="150" w:type="dxa"/>
            </w:tcMar>
          </w:tcPr>
          <w:p>
            <w:pPr>
              <w:jc w:val="left"/>
            </w:pPr>
            <w:r>
              <w:rPr>
                <w:rFonts w:ascii="Calibri" w:hAnsi="Calibri"/>
                <w:b/>
                <w:color w:val="146428"/>
                <w:sz w:val="18"/>
              </w:rPr>
              <w:t>★ Historic Achievement: Single-handedly resolved 600 Million EGP inventory compliance crisis in under 10 hours</w:t>
            </w:r>
          </w:p>
        </w:tc>
      </w:tr>
    </w:tbl>
    <w:p>
      <w:pPr>
        <w:spacing w:after="40"/>
        <w:jc w:val="both"/>
      </w:pPr>
      <w:r>
        <w:rPr>
          <w:rFonts w:ascii="Calibri" w:hAnsi="Calibri"/>
          <w:b/>
          <w:color w:val="B45309"/>
        </w:rPr>
        <w:t xml:space="preserve">• </w:t>
      </w:r>
      <w:r>
        <w:rPr>
          <w:rFonts w:ascii="Calibri" w:hAnsi="Calibri"/>
          <w:color w:val="282D37"/>
          <w:sz w:val="18"/>
        </w:rPr>
        <w:t>Resolved 600 Million EGP Regulatory Crisis in Under 10 Hours: Spearheaded the forensic audit of critical inventory records totaling 600M EGP erroneously recorded as expired stock in central laboratory and CDC facilities, resolving the entire crisis in under 10 hours of non-stop investigation.</w:t>
      </w:r>
    </w:p>
    <w:p>
      <w:pPr>
        <w:spacing w:after="40"/>
        <w:jc w:val="both"/>
      </w:pPr>
      <w:r>
        <w:rPr>
          <w:rFonts w:ascii="Calibri" w:hAnsi="Calibri"/>
          <w:b/>
          <w:color w:val="B45309"/>
        </w:rPr>
        <w:t xml:space="preserve">• </w:t>
      </w:r>
      <w:r>
        <w:rPr>
          <w:rFonts w:ascii="Calibri" w:hAnsi="Calibri"/>
          <w:color w:val="282D37"/>
          <w:sz w:val="18"/>
        </w:rPr>
        <w:t>Digital Reconciliation &amp; Legal Protection: Reconciled physical warehouse counts with UPA digital registries, shielding senior executives across GOTHI, NHTMRI, and CDC from severe administrative penalties and legal investigations.</w:t>
      </w:r>
    </w:p>
    <w:p>
      <w:pPr>
        <w:spacing w:after="40"/>
        <w:jc w:val="both"/>
      </w:pPr>
      <w:r>
        <w:rPr>
          <w:rFonts w:ascii="Calibri" w:hAnsi="Calibri"/>
          <w:b/>
          <w:color w:val="B45309"/>
        </w:rPr>
        <w:t xml:space="preserve">• </w:t>
      </w:r>
      <w:r>
        <w:rPr>
          <w:rFonts w:ascii="Calibri" w:hAnsi="Calibri"/>
          <w:color w:val="282D37"/>
          <w:sz w:val="18"/>
        </w:rPr>
        <w:t>Merit Promotion: Immediately transferred and promoted to the CDC Scientific Team in recognition of unprecedented crisis mitigation and forensic rigor under extreme time pressure.</w:t>
      </w:r>
    </w:p>
    <w:p>
      <w:pPr>
        <w:spacing w:before="140" w:after="40"/>
        <w:jc w:val="left"/>
      </w:pPr>
      <w:r>
        <w:rPr>
          <w:rFonts w:ascii="Calibri" w:hAnsi="Calibri"/>
          <w:b/>
          <w:color w:val="0F2C59"/>
          <w:sz w:val="21"/>
        </w:rPr>
        <w:t>Commercial Management Department</w:t>
        <w:br/>
      </w:r>
      <w:r>
        <w:rPr>
          <w:rFonts w:ascii="Calibri" w:hAnsi="Calibri"/>
          <w:b/>
          <w:color w:val="B45309"/>
          <w:sz w:val="18"/>
        </w:rPr>
        <w:t>SEIF Pharmacies — Central Administration  |  2026 – Present | Cairo, Egypt</w:t>
      </w:r>
    </w:p>
    <w:p>
      <w:pPr>
        <w:spacing w:after="40"/>
        <w:jc w:val="both"/>
      </w:pPr>
      <w:r>
        <w:rPr>
          <w:rFonts w:ascii="Calibri" w:hAnsi="Calibri"/>
          <w:b/>
          <w:color w:val="B45309"/>
        </w:rPr>
        <w:t xml:space="preserve">• </w:t>
      </w:r>
      <w:r>
        <w:rPr>
          <w:rFonts w:ascii="Calibri" w:hAnsi="Calibri"/>
          <w:color w:val="282D37"/>
          <w:sz w:val="18"/>
        </w:rPr>
        <w:t>Strategic Commercial Operations: Contributing to commercial strategy, vendor negotiations, procurement planning, and retail decision-making for one of Egypt’s premier and largest retail pharmacy chains (~60 branches).</w:t>
      </w:r>
    </w:p>
    <w:p>
      <w:pPr>
        <w:spacing w:after="40"/>
        <w:jc w:val="both"/>
      </w:pPr>
      <w:r>
        <w:rPr>
          <w:rFonts w:ascii="Calibri" w:hAnsi="Calibri"/>
          <w:b/>
          <w:color w:val="B45309"/>
        </w:rPr>
        <w:t xml:space="preserve">• </w:t>
      </w:r>
      <w:r>
        <w:rPr>
          <w:rFonts w:ascii="Calibri" w:hAnsi="Calibri"/>
          <w:color w:val="282D37"/>
          <w:sz w:val="18"/>
        </w:rPr>
        <w:t>Profitability &amp; Category Management: Evaluating sales metrics, optimizing profit margins, and coordinating supply pipelines across high-volume retail outlets to maximize inventory turns and operational ROI.</w:t>
      </w:r>
    </w:p>
    <w:p>
      <w:pPr>
        <w:spacing w:before="140" w:after="40"/>
        <w:jc w:val="left"/>
      </w:pPr>
      <w:r>
        <w:rPr>
          <w:rFonts w:ascii="Calibri" w:hAnsi="Calibri"/>
          <w:b/>
          <w:color w:val="0F2C59"/>
          <w:sz w:val="21"/>
        </w:rPr>
        <w:t>Founder &amp; Chief Executive Officer (CEO)</w:t>
        <w:br/>
      </w:r>
      <w:r>
        <w:rPr>
          <w:rFonts w:ascii="Calibri" w:hAnsi="Calibri"/>
          <w:b/>
          <w:color w:val="B45309"/>
          <w:sz w:val="18"/>
        </w:rPr>
        <w:t>Al-Abd Unimed for Administrative Services &amp; Health-Tech  |  2020 – Present | Minya / Cairo, Egypt</w:t>
      </w:r>
    </w:p>
    <w:p>
      <w:pPr>
        <w:spacing w:after="40"/>
        <w:jc w:val="both"/>
      </w:pPr>
      <w:r>
        <w:rPr>
          <w:rFonts w:ascii="Calibri" w:hAnsi="Calibri"/>
          <w:b/>
          <w:color w:val="B45309"/>
        </w:rPr>
        <w:t xml:space="preserve">• </w:t>
      </w:r>
      <w:r>
        <w:rPr>
          <w:rFonts w:ascii="Calibri" w:hAnsi="Calibri"/>
          <w:color w:val="282D37"/>
          <w:sz w:val="18"/>
        </w:rPr>
        <w:t>Founded and scaled an integrated health-tech group comprising a 5-branch pharmacy chain, a pharmaceutical distribution warehouse, a modern medical center, and healthcare software solutions.</w:t>
      </w:r>
    </w:p>
    <w:p>
      <w:pPr>
        <w:spacing w:after="40"/>
        <w:jc w:val="both"/>
      </w:pPr>
      <w:r>
        <w:rPr>
          <w:rFonts w:ascii="Calibri" w:hAnsi="Calibri"/>
          <w:b/>
          <w:color w:val="B45309"/>
        </w:rPr>
        <w:t xml:space="preserve">• </w:t>
      </w:r>
      <w:r>
        <w:rPr>
          <w:rFonts w:ascii="Calibri" w:hAnsi="Calibri"/>
          <w:color w:val="282D37"/>
          <w:sz w:val="18"/>
        </w:rPr>
        <w:t>Owned and managed the Al-Abd pharmacy chain (5 branches in Minya), achieving consistent operational and commercial expansion.</w:t>
      </w:r>
    </w:p>
    <w:p>
      <w:pPr>
        <w:spacing w:after="40"/>
        <w:jc w:val="both"/>
      </w:pPr>
      <w:r>
        <w:rPr>
          <w:rFonts w:ascii="Calibri" w:hAnsi="Calibri"/>
          <w:b/>
          <w:color w:val="B45309"/>
        </w:rPr>
        <w:t xml:space="preserve">• </w:t>
      </w:r>
      <w:r>
        <w:rPr>
          <w:rFonts w:ascii="Calibri" w:hAnsi="Calibri"/>
          <w:color w:val="282D37"/>
          <w:sz w:val="18"/>
        </w:rPr>
        <w:t>Engineered Python-Based Inventory Redistribution Algorithm: Designed and deployed custom software to automate pharmaceutical inventory rebalancing across a 60-branch network, drastically cutting dead stock and preventing medication expiration.</w:t>
      </w:r>
    </w:p>
    <w:p>
      <w:pPr>
        <w:spacing w:after="40"/>
        <w:jc w:val="both"/>
      </w:pPr>
      <w:r>
        <w:rPr>
          <w:rFonts w:ascii="Calibri" w:hAnsi="Calibri"/>
          <w:b/>
          <w:color w:val="B45309"/>
        </w:rPr>
        <w:t xml:space="preserve">• </w:t>
      </w:r>
      <w:r>
        <w:rPr>
          <w:rFonts w:ascii="Calibri" w:hAnsi="Calibri"/>
          <w:color w:val="282D37"/>
          <w:sz w:val="18"/>
        </w:rPr>
        <w:t>Leading the engineering and deployment of AU MED and AU Business cloud platforms for automated clinical and administrative services.</w:t>
      </w:r>
    </w:p>
    <w:p>
      <w:pPr>
        <w:spacing w:before="140" w:after="40"/>
        <w:jc w:val="left"/>
      </w:pPr>
      <w:r>
        <w:rPr>
          <w:rFonts w:ascii="Calibri" w:hAnsi="Calibri"/>
          <w:b/>
          <w:color w:val="0F2C59"/>
          <w:sz w:val="21"/>
        </w:rPr>
        <w:t>Clinical &amp; Institutional Pharmacist</w:t>
        <w:br/>
      </w:r>
      <w:r>
        <w:rPr>
          <w:rFonts w:ascii="Calibri" w:hAnsi="Calibri"/>
          <w:b/>
          <w:color w:val="B45309"/>
          <w:sz w:val="18"/>
        </w:rPr>
        <w:t>National Hepatology &amp; Tropical Medicine Research Institute (2017 – 2026) | National Heart Institute (2017)  |  2017 – 2026 | Cairo, Egypt</w:t>
      </w:r>
    </w:p>
    <w:p>
      <w:pPr>
        <w:spacing w:after="40"/>
        <w:jc w:val="both"/>
      </w:pPr>
      <w:r>
        <w:rPr>
          <w:rFonts w:ascii="Calibri" w:hAnsi="Calibri"/>
          <w:b/>
          <w:color w:val="B45309"/>
        </w:rPr>
        <w:t xml:space="preserve">• </w:t>
      </w:r>
      <w:r>
        <w:rPr>
          <w:rFonts w:ascii="Calibri" w:hAnsi="Calibri"/>
          <w:color w:val="282D37"/>
          <w:sz w:val="18"/>
        </w:rPr>
        <w:t>Managed dispensing of specialized hepatology, oncology, and critical cardiac regimens; maintained strict oversight of cold chain, inventory registers, and Good Pharmacy Practice (GPP).</w:t>
      </w:r>
    </w:p>
    <w:p>
      <w:pPr>
        <w:spacing w:after="40"/>
        <w:jc w:val="both"/>
      </w:pPr>
      <w:r>
        <w:rPr>
          <w:rFonts w:ascii="Calibri" w:hAnsi="Calibri"/>
          <w:b/>
          <w:color w:val="B45309"/>
        </w:rPr>
        <w:t xml:space="preserve">• </w:t>
      </w:r>
      <w:r>
        <w:rPr>
          <w:rFonts w:ascii="Calibri" w:hAnsi="Calibri"/>
          <w:color w:val="282D37"/>
          <w:sz w:val="18"/>
        </w:rPr>
        <w:t>Early community practice: Pharmacist at Dr. Shaaban Bakr Pharmacies (2014 – 2017), Assistant Pharmacist at Dr. Adham Seif Pharmacy (2013 – 2014).</w:t>
      </w:r>
    </w:p>
    <w:p>
      <w:pPr>
        <w:spacing w:before="200" w:after="80"/>
        <w:jc w:val="left"/>
        <w:pBdr>
          <w:bottom w:val="single" w:sz="12" w:space="4" w:color="0F2C59"/>
        </w:pBdr>
      </w:pPr>
      <w:r>
        <w:rPr>
          <w:rFonts w:ascii="Calibri" w:hAnsi="Calibri"/>
          <w:b/>
          <w:color w:val="0F2C59"/>
          <w:sz w:val="25"/>
        </w:rPr>
        <w:t>SCIENTIFIC RESEARCH &amp; PUBLICATIONS</w:t>
      </w:r>
    </w:p>
    <w:p>
      <w:pPr>
        <w:jc w:val="both"/>
      </w:pPr>
      <w:r>
        <w:rPr>
          <w:rFonts w:ascii="Calibri" w:hAnsi="Calibri"/>
          <w:color w:val="282D37"/>
          <w:sz w:val="19"/>
        </w:rPr>
        <w:t>Original Scientific Research Paper (In Preparation for Peer-Reviewed International Journals):</w:t>
        <w:br/>
        <w:t>“Applications of the Circular Economy in Pharmaceutical Supply and Distribution Chains”</w:t>
        <w:br/>
        <w:t>Investigating algorithmic, data-driven closed-loop frameworks to eliminate pharmaceutical waste, optimize dynamic multi-site inventory redistribution, and enhance resource recovery across supply chains.</w:t>
      </w:r>
    </w:p>
    <w:p>
      <w:pPr>
        <w:spacing w:before="200" w:after="80"/>
        <w:jc w:val="left"/>
        <w:pBdr>
          <w:bottom w:val="single" w:sz="12" w:space="4" w:color="0F2C59"/>
        </w:pBdr>
      </w:pPr>
      <w:r>
        <w:rPr>
          <w:rFonts w:ascii="Calibri" w:hAnsi="Calibri"/>
          <w:b/>
          <w:color w:val="0F2C59"/>
          <w:sz w:val="25"/>
        </w:rPr>
        <w:t>EDUCATION, CERTIFICATIONS &amp; TECHNICAL STACK</w:t>
      </w:r>
    </w:p>
    <w:p>
      <w:pPr>
        <w:jc w:val="left"/>
      </w:pPr>
      <w:r>
        <w:rPr>
          <w:rFonts w:ascii="Calibri" w:hAnsi="Calibri"/>
          <w:color w:val="282D37"/>
          <w:sz w:val="19"/>
        </w:rPr>
        <w:t>• Bachelor of Pharmacy (B.Pharm) — Clinical Pharmacy Major | Nahda University (NUB), Beni Suef (2013 – 2017)</w:t>
        <w:br/>
        <w:t>• International Computer Driving Licence (ICDL)  |  Certified Relationship Management Specialist</w:t>
        <w:br/>
        <w:t>• Technical Stack: Python, Custom ERP Architecture, Automated Batch Processing Pipelines, SQL</w:t>
        <w:br/>
        <w:t>• Health Informatics: Laboratory Information Systems (LIS), Hospital Information Systems (HIS), Ministry of Health Portals</w:t>
        <w:br/>
        <w:t>• Regulatory Governance: UPA Standards, Good Storage/Distribution Practices (GSP/GDP), Forensic Auditing</w:t>
        <w:br/>
        <w:t>• Languages: Arabic (Native), English (Advanced Professional Proficiency)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