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5EF7EB" w14:textId="2C6A636F" w:rsidR="001A39DC" w:rsidRPr="001A39DC" w:rsidRDefault="001A39DC" w:rsidP="001A39D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>Durante esta fase concen</w:t>
            </w:r>
            <w:r w:rsidR="00047B26">
              <w:rPr>
                <w:rFonts w:ascii="Calibri" w:hAnsi="Calibri"/>
                <w:b/>
                <w:bCs/>
                <w:color w:val="1F4E79" w:themeColor="accent1" w:themeShade="80"/>
              </w:rPr>
              <w:t>tre</w:t>
            </w:r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nuestro </w:t>
            </w:r>
            <w:r w:rsidR="00047B2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</w:t>
            </w:r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trabajo en el módulo de Asteroides y Minería del proyecto </w:t>
            </w:r>
            <w:proofErr w:type="spellStart"/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>Galactum</w:t>
            </w:r>
            <w:proofErr w:type="spellEnd"/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>, correspondiente al Equipo 3: Mundo y Combate. Abordamos la revisión de requisitos, la definición del flujo de minería y el análisis de su integración con el servidor de sistema solar y el cliente. Sin embargo, todavía debemos contrastar las evidencias de implementación y pruebas con la carta Gantt para determinar el cumplimiento completo de los plazos.</w:t>
            </w:r>
          </w:p>
          <w:p w14:paraId="2C59CD43" w14:textId="77777777" w:rsidR="001A39DC" w:rsidRPr="001A39DC" w:rsidRDefault="001A39DC" w:rsidP="001A39D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24437B" w14:textId="77777777" w:rsidR="001A39DC" w:rsidRPr="001A39DC" w:rsidRDefault="001A39DC" w:rsidP="001A39D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>Entre los factores que facilitaron el avance destacan la documentación del proyecto, la existencia de una base de mundo y viaje, y la división del trabajo en etapas con objetivos y criterios de aceptación. Esto permitió delimitar la entrega y reconocer las dependencias con otros equipos.</w:t>
            </w:r>
          </w:p>
          <w:p w14:paraId="663D8BBD" w14:textId="77777777" w:rsidR="001A39DC" w:rsidRPr="001A39DC" w:rsidRDefault="001A39DC" w:rsidP="001A39D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6226CB7E" w:rsidR="004F2A8B" w:rsidRDefault="001A39DC" w:rsidP="001A39D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A39DC">
              <w:rPr>
                <w:rFonts w:ascii="Calibri" w:hAnsi="Calibri"/>
                <w:b/>
                <w:bCs/>
                <w:color w:val="1F4E79" w:themeColor="accent1" w:themeShade="80"/>
              </w:rPr>
              <w:t>Las principales dificultades estuvieron relacionadas con la sincronización entre cliente y servidor, la prevención de resultados duplicados y la definición de comportamientos ante cancelaciones o desconexiones. También identificamos la necesidad de mantener alineados los documentos y la versión del código utilizada como evidencia.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2C382E6" w14:textId="77777777" w:rsidR="00047B26" w:rsidRPr="00047B26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81B2F5" w14:textId="653769E6" w:rsidR="00047B26" w:rsidRPr="00047B26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47B26">
              <w:rPr>
                <w:rFonts w:ascii="Calibri" w:hAnsi="Calibri"/>
                <w:b/>
                <w:bCs/>
                <w:color w:val="1F4E79" w:themeColor="accent1" w:themeShade="80"/>
              </w:rPr>
              <w:t>He abordado las dificultades mediante la revisión de las fuentes disponibles y la separación del trabajo en etapas: diseño, modelo de asteroides, lógica autoritativa del servidor, interacción del cliente y validación final. Este enfoque permite revisar cada componente antes de integrarlo y facilita la detección de problemas.</w:t>
            </w:r>
          </w:p>
          <w:p w14:paraId="77BB2F27" w14:textId="77777777" w:rsidR="00047B26" w:rsidRPr="00047B26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30CD650" w14:textId="77777777" w:rsidR="00047B26" w:rsidRPr="00047B26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47B26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Para enfrentar las dificultades pendientes, priorizaremos la identificación de la versión actual del proyecto, la documentación de las reglas acordadas y la validación de los casos críticos. Estos incluyen solicitudes repetidas, ocupación simultánea de un asteroide, cancelación de la minería y fallas al reportar los resultados.</w:t>
            </w:r>
          </w:p>
          <w:p w14:paraId="7E86B1AC" w14:textId="77777777" w:rsidR="00047B26" w:rsidRPr="00047B26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F1EAAE" w14:textId="105B01EF" w:rsidR="004F2A8B" w:rsidRDefault="00047B26" w:rsidP="00047B2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47B26">
              <w:rPr>
                <w:rFonts w:ascii="Calibri" w:hAnsi="Calibri"/>
                <w:b/>
                <w:bCs/>
                <w:color w:val="1F4E79" w:themeColor="accent1" w:themeShade="80"/>
              </w:rPr>
              <w:t>Además, mantendremos las dependencias económicas detrás de una interfaz acotada, respetando las responsabilidades de los otros equipos. Registraremos las decisiones abiertas y solicitaremos retroalimentación cuando una definición afecte el alcance o los contratos compartidos.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26E98AD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Evaluamos nuestro trabajo como un avance relevante en la comprensión y estructuración del módulo de minería. Destacamos la delimitación del alcance, la identificación de las responsabilidades del cliente y del servidor y la consideración de aspectos de calidad como sincronización, idempotencia y compatibilidad con el sistema de viaje.</w:t>
            </w:r>
          </w:p>
          <w:p w14:paraId="07E3E657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0841A4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Una fortaleza ha sido comprender que el cliente debe enviar solicitudes y representar el estado recibido, mientras el servidor valida las acciones y determina los resultados. También destacamos la planificación de escenarios de prueba que consideran tanto el funcionamiento esperado como situaciones de error.</w:t>
            </w:r>
          </w:p>
          <w:p w14:paraId="50CB0698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17C8E324" w:rsidR="004F2A8B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Para mejorar, debemos fortalecer la trazabilidad entre requisitos, código y evidencias. Necesitamos consolidar resultados de pruebas, documentar una demostración reproducible y verificar que los documentos correspondan a la versión actual del proyecto. Esto permitirá comunicar el avance con mayor precisión y justificar qué funcionalidades están terminadas y cuáles requieren ajustes.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F0CD7B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Nuestra principal inquietud es determinar el nivel de integración y evidencia requerido para considerar cumplido el módulo de minería en esta fase. Debemos confirmar si basta con demostrar el flujo autoritativo y un resultado desacoplado de la economía, o si se espera una integración funcional con los servicios de otros equipos.</w:t>
            </w:r>
          </w:p>
          <w:p w14:paraId="4E07BFE0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A58C633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Al docente le preguntaríamos: ¿qué evidencias debemos priorizar para demostrar el cumplimiento de esta entrega: resultados de pruebas, demostración funcional, documentación técnica o una combinación de estas?</w:t>
            </w:r>
          </w:p>
          <w:p w14:paraId="5AB8537D" w14:textId="77777777" w:rsidR="002B7710" w:rsidRPr="002B7710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C67CEC1" w:rsidR="004F2A8B" w:rsidRDefault="002B7710" w:rsidP="002B771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B7710">
              <w:rPr>
                <w:rFonts w:ascii="Calibri" w:hAnsi="Calibri"/>
                <w:b/>
                <w:bCs/>
                <w:color w:val="1F4E79" w:themeColor="accent1" w:themeShade="80"/>
              </w:rPr>
              <w:t>A nuestros pares les consultaríamos cómo coordinar las modificaciones del contrato de comunicación y cómo validar la convivencia de minería, viaje y combate sin introducir cambios incompatibles.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21781DE" w14:textId="77777777" w:rsidR="002B7710" w:rsidRPr="002B7710" w:rsidRDefault="002B7710" w:rsidP="002B7710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  <w:r w:rsidRPr="002B7710">
              <w:rPr>
                <w:rFonts w:eastAsiaTheme="majorEastAsia" w:cstheme="minorHAnsi"/>
                <w:b/>
                <w:bCs/>
                <w:color w:val="767171" w:themeColor="background2" w:themeShade="80"/>
              </w:rPr>
              <w:t>Consideramos conveniente revisar la distribución de actividades según las tareas pendientes y la disponibilidad de cada integrante. La asignación debe distinguir responsables de lógica del servidor, interacción del cliente, pruebas y documentación, manteniendo una revisión conjunta de las decisiones que afectan la integración.</w:t>
            </w:r>
          </w:p>
          <w:p w14:paraId="3ADDFAAA" w14:textId="77777777" w:rsidR="002B7710" w:rsidRPr="002B7710" w:rsidRDefault="002B7710" w:rsidP="002B7710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</w:p>
          <w:p w14:paraId="70E61D80" w14:textId="77777777" w:rsidR="002B7710" w:rsidRPr="002B7710" w:rsidRDefault="002B7710" w:rsidP="002B7710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  <w:r w:rsidRPr="002B7710">
              <w:rPr>
                <w:rFonts w:eastAsiaTheme="majorEastAsia" w:cstheme="minorHAnsi"/>
                <w:b/>
                <w:bCs/>
                <w:color w:val="767171" w:themeColor="background2" w:themeShade="80"/>
              </w:rPr>
              <w:t>Proponemos asignar explícitamente la validación de idempotencia, la revisión de cancelaciones y desconexiones, la ejecución de pruebas de regresión del viaje y la preparación de la demostración. También es necesario definir un responsable de consolidar las evidencias y comprobar que correspondan a la versión entregada.</w:t>
            </w:r>
          </w:p>
          <w:p w14:paraId="4706BE39" w14:textId="77777777" w:rsidR="002B7710" w:rsidRPr="002B7710" w:rsidRDefault="002B7710" w:rsidP="002B7710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</w:p>
          <w:p w14:paraId="29C5EEFE" w14:textId="68BC5AF5" w:rsidR="004F2A8B" w:rsidRPr="002B7710" w:rsidRDefault="002B7710" w:rsidP="002B7710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  <w:r w:rsidRPr="002B7710">
              <w:rPr>
                <w:rFonts w:eastAsiaTheme="majorEastAsia" w:cstheme="minorHAnsi"/>
                <w:b/>
                <w:bCs/>
                <w:color w:val="767171" w:themeColor="background2" w:themeShade="80"/>
              </w:rPr>
              <w:t>Esta redistribución busca equilibrar la carga de trabajo y evitar que las pruebas y la documentación queden concentradas al final del proceso.</w:t>
            </w:r>
          </w:p>
          <w:p w14:paraId="0C5F9ED3" w14:textId="77777777" w:rsidR="004F2A8B" w:rsidRPr="002B7710" w:rsidRDefault="004F2A8B" w:rsidP="3D28A338">
            <w:pPr>
              <w:jc w:val="both"/>
              <w:rPr>
                <w:rFonts w:eastAsiaTheme="majorEastAsia" w:cstheme="minorHAnsi"/>
                <w:b/>
                <w:bCs/>
                <w:color w:val="767171" w:themeColor="background2" w:themeShade="80"/>
              </w:rPr>
            </w:pPr>
          </w:p>
          <w:p w14:paraId="3C35FF15" w14:textId="77777777" w:rsidR="004F2A8B" w:rsidRPr="002B7710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E9AC64" w14:textId="77777777" w:rsidR="004F50DB" w:rsidRPr="004F50DB" w:rsidRDefault="004F50DB" w:rsidP="004F50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5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grupal considerando nuestra capacidad para organizar tareas, compartir información y coordinar componentes que dependen entre sí. La documentación común y la división por etapas ofrecen una base para mantener un objetivo compartido y revisar el avance.</w:t>
            </w:r>
          </w:p>
          <w:p w14:paraId="46875C82" w14:textId="77777777" w:rsidR="004F50DB" w:rsidRPr="004F50DB" w:rsidRDefault="004F50DB" w:rsidP="004F50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F4BB72" w14:textId="77777777" w:rsidR="004F50DB" w:rsidRPr="004F50DB" w:rsidRDefault="004F50DB" w:rsidP="004F50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5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aspectos positivos, destacamos la delimitación de responsabilidades del Equipo 3 y la posibilidad de revisar conjuntamente las decisiones técnicas antes de integrar cambios. Esto favorece la coherencia entre mundo, viaje y minería.</w:t>
            </w:r>
          </w:p>
          <w:p w14:paraId="34C7E48C" w14:textId="77777777" w:rsidR="004F50DB" w:rsidRPr="004F50DB" w:rsidRDefault="004F50DB" w:rsidP="004F50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397AA6B" w:rsidR="004F2A8B" w:rsidRDefault="004F50DB" w:rsidP="004F50D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F50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aspectos por mejorar, identificamos la necesidad de registrar con mayor claridad los acuerdos, responsables y criterios de término. También debemos reforzar las revisiones de integración y la organización de evidencias, de manera que todos los integrantes puedan explicar el estado real de la entrega y sus pendientes.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5283" w14:textId="77777777" w:rsidR="00377FE8" w:rsidRDefault="00377FE8" w:rsidP="00DF38AE">
      <w:pPr>
        <w:spacing w:after="0" w:line="240" w:lineRule="auto"/>
      </w:pPr>
      <w:r>
        <w:separator/>
      </w:r>
    </w:p>
  </w:endnote>
  <w:endnote w:type="continuationSeparator" w:id="0">
    <w:p w14:paraId="382D2BB7" w14:textId="77777777" w:rsidR="00377FE8" w:rsidRDefault="00377FE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96123" w14:textId="77777777" w:rsidR="00377FE8" w:rsidRDefault="00377FE8" w:rsidP="00DF38AE">
      <w:pPr>
        <w:spacing w:after="0" w:line="240" w:lineRule="auto"/>
      </w:pPr>
      <w:r>
        <w:separator/>
      </w:r>
    </w:p>
  </w:footnote>
  <w:footnote w:type="continuationSeparator" w:id="0">
    <w:p w14:paraId="3C59FD5D" w14:textId="77777777" w:rsidR="00377FE8" w:rsidRDefault="00377FE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933032">
    <w:abstractNumId w:val="3"/>
  </w:num>
  <w:num w:numId="2" w16cid:durableId="528954512">
    <w:abstractNumId w:val="8"/>
  </w:num>
  <w:num w:numId="3" w16cid:durableId="1513685622">
    <w:abstractNumId w:val="12"/>
  </w:num>
  <w:num w:numId="4" w16cid:durableId="1514955587">
    <w:abstractNumId w:val="28"/>
  </w:num>
  <w:num w:numId="5" w16cid:durableId="1098796140">
    <w:abstractNumId w:val="30"/>
  </w:num>
  <w:num w:numId="6" w16cid:durableId="1718161375">
    <w:abstractNumId w:val="4"/>
  </w:num>
  <w:num w:numId="7" w16cid:durableId="1839420331">
    <w:abstractNumId w:val="11"/>
  </w:num>
  <w:num w:numId="8" w16cid:durableId="1782139817">
    <w:abstractNumId w:val="19"/>
  </w:num>
  <w:num w:numId="9" w16cid:durableId="2027321544">
    <w:abstractNumId w:val="15"/>
  </w:num>
  <w:num w:numId="10" w16cid:durableId="48768971">
    <w:abstractNumId w:val="9"/>
  </w:num>
  <w:num w:numId="11" w16cid:durableId="243535684">
    <w:abstractNumId w:val="24"/>
  </w:num>
  <w:num w:numId="12" w16cid:durableId="218438205">
    <w:abstractNumId w:val="35"/>
  </w:num>
  <w:num w:numId="13" w16cid:durableId="992677946">
    <w:abstractNumId w:val="29"/>
  </w:num>
  <w:num w:numId="14" w16cid:durableId="899174245">
    <w:abstractNumId w:val="1"/>
  </w:num>
  <w:num w:numId="15" w16cid:durableId="148713654">
    <w:abstractNumId w:val="36"/>
  </w:num>
  <w:num w:numId="16" w16cid:durableId="831873287">
    <w:abstractNumId w:val="21"/>
  </w:num>
  <w:num w:numId="17" w16cid:durableId="2119791556">
    <w:abstractNumId w:val="17"/>
  </w:num>
  <w:num w:numId="18" w16cid:durableId="1658875632">
    <w:abstractNumId w:val="31"/>
  </w:num>
  <w:num w:numId="19" w16cid:durableId="365913159">
    <w:abstractNumId w:val="10"/>
  </w:num>
  <w:num w:numId="20" w16cid:durableId="1313103265">
    <w:abstractNumId w:val="39"/>
  </w:num>
  <w:num w:numId="21" w16cid:durableId="546180583">
    <w:abstractNumId w:val="34"/>
  </w:num>
  <w:num w:numId="22" w16cid:durableId="1355616750">
    <w:abstractNumId w:val="13"/>
  </w:num>
  <w:num w:numId="23" w16cid:durableId="1460300471">
    <w:abstractNumId w:val="14"/>
  </w:num>
  <w:num w:numId="24" w16cid:durableId="781341353">
    <w:abstractNumId w:val="5"/>
  </w:num>
  <w:num w:numId="25" w16cid:durableId="1057513902">
    <w:abstractNumId w:val="16"/>
  </w:num>
  <w:num w:numId="26" w16cid:durableId="966743434">
    <w:abstractNumId w:val="20"/>
  </w:num>
  <w:num w:numId="27" w16cid:durableId="1682193997">
    <w:abstractNumId w:val="23"/>
  </w:num>
  <w:num w:numId="28" w16cid:durableId="1593124524">
    <w:abstractNumId w:val="0"/>
  </w:num>
  <w:num w:numId="29" w16cid:durableId="1753548293">
    <w:abstractNumId w:val="18"/>
  </w:num>
  <w:num w:numId="30" w16cid:durableId="1522284988">
    <w:abstractNumId w:val="22"/>
  </w:num>
  <w:num w:numId="31" w16cid:durableId="2143226305">
    <w:abstractNumId w:val="2"/>
  </w:num>
  <w:num w:numId="32" w16cid:durableId="180822506">
    <w:abstractNumId w:val="7"/>
  </w:num>
  <w:num w:numId="33" w16cid:durableId="1202590012">
    <w:abstractNumId w:val="32"/>
  </w:num>
  <w:num w:numId="34" w16cid:durableId="223837451">
    <w:abstractNumId w:val="38"/>
  </w:num>
  <w:num w:numId="35" w16cid:durableId="1907908720">
    <w:abstractNumId w:val="6"/>
  </w:num>
  <w:num w:numId="36" w16cid:durableId="897859275">
    <w:abstractNumId w:val="25"/>
  </w:num>
  <w:num w:numId="37" w16cid:durableId="1813667970">
    <w:abstractNumId w:val="37"/>
  </w:num>
  <w:num w:numId="38" w16cid:durableId="1160854060">
    <w:abstractNumId w:val="27"/>
  </w:num>
  <w:num w:numId="39" w16cid:durableId="839345433">
    <w:abstractNumId w:val="26"/>
  </w:num>
  <w:num w:numId="40" w16cid:durableId="13711059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B26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39DC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710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77FE8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0DB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5FAC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1071</Words>
  <Characters>5891</Characters>
  <Application>Microsoft Office Word</Application>
  <DocSecurity>0</DocSecurity>
  <Lines>49</Lines>
  <Paragraphs>13</Paragraphs>
  <ScaleCrop>false</ScaleCrop>
  <Company>Wal-Mart Stores, Inc.</Company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castro</cp:lastModifiedBy>
  <cp:revision>46</cp:revision>
  <cp:lastPrinted>2019-12-16T20:10:00Z</cp:lastPrinted>
  <dcterms:created xsi:type="dcterms:W3CDTF">2021-12-31T12:50:00Z</dcterms:created>
  <dcterms:modified xsi:type="dcterms:W3CDTF">2026-10-18T23:46:00Z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