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1.0 -->
  <w:body>
    <w:p>
      <w:pPr>
        <w:pStyle w:val="Heading1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Infinite Campus Integrationshandbuch</w:t>
      </w:r>
    </w:p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Zaza Draft × Infinite Campus</w:t>
      </w:r>
    </w:p>
    <w:p>
      <w:pPr>
        <w:rPr>
          <w:b w:val="0"/>
          <w:i w:val="0"/>
          <w:strike w:val="0"/>
        </w:rPr>
      </w:pPr>
      <w:r>
        <w:pict>
          <v:rect id="_x0000_i1025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Übersicht</w:t>
      </w:r>
    </w:p>
    <w:p>
      <w:p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Synchronisieren Sie Schülerlisten, Demografiedaten und Noten zwischen Infinite Campus und Zaza Draft unter Verwendung von OneRoster API-Standards.</w:t>
      </w:r>
    </w:p>
    <w:p>
      <w:pPr>
        <w:rPr>
          <w:b w:val="0"/>
          <w:i w:val="0"/>
          <w:strike w:val="0"/>
        </w:rPr>
      </w:pPr>
      <w:r>
        <w:rPr>
          <w:b/>
          <w:i w:val="0"/>
          <w:strike w:val="0"/>
        </w:rPr>
        <w:t>Einrichtungsdauer:</w:t>
      </w:r>
      <w:r>
        <w:rPr>
          <w:b w:val="0"/>
          <w:i w:val="0"/>
          <w:strike w:val="0"/>
        </w:rPr>
        <w:t xml:space="preserve"> 12 Minuten</w:t>
        <w:br/>
      </w:r>
      <w:r>
        <w:rPr>
          <w:b/>
          <w:i w:val="0"/>
          <w:strike w:val="0"/>
        </w:rPr>
        <w:t>Schwierigkeitsgrad:</w:t>
      </w:r>
      <w:r>
        <w:rPr>
          <w:b w:val="0"/>
          <w:i w:val="0"/>
          <w:strike w:val="0"/>
        </w:rPr>
        <w:t xml:space="preserve"> Mittel (Benötigt Admin-Infos)</w:t>
        <w:br/>
      </w:r>
      <w:r>
        <w:rPr>
          <w:b/>
          <w:i w:val="0"/>
          <w:strike w:val="0"/>
        </w:rPr>
        <w:t>Voraussetzungen:</w:t>
      </w:r>
      <w:r>
        <w:rPr>
          <w:b w:val="0"/>
          <w:i w:val="0"/>
          <w:strike w:val="0"/>
        </w:rPr>
        <w:t xml:space="preserve"> Infinite Campus Distrikt-Konto</w:t>
      </w:r>
    </w:p>
    <w:p>
      <w:pPr>
        <w:rPr>
          <w:b w:val="0"/>
          <w:i w:val="0"/>
          <w:strike w:val="0"/>
        </w:rPr>
      </w:pPr>
      <w:r>
        <w:pict>
          <v:rect id="_x0000_i1026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Hauptvorteile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Listen-Synchronisierung</w:t>
      </w:r>
      <w:r>
        <w:rPr>
          <w:b w:val="0"/>
          <w:i w:val="0"/>
          <w:strike w:val="0"/>
        </w:rPr>
        <w:t xml:space="preserve"> – Klassenlisten automatisch aktuell halten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Notenrückgabe</w:t>
      </w:r>
      <w:r>
        <w:rPr>
          <w:b w:val="0"/>
          <w:i w:val="0"/>
          <w:strike w:val="0"/>
        </w:rPr>
        <w:t xml:space="preserve"> – Noten in das Campus Notenbuch übertragen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Demografie</w:t>
      </w:r>
      <w:r>
        <w:rPr>
          <w:b w:val="0"/>
          <w:i w:val="0"/>
          <w:strike w:val="0"/>
        </w:rPr>
        <w:t xml:space="preserve"> – Schülerdetails für personalisierte Förderpläne importieren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Sicherer Datentransfer</w:t>
      </w:r>
      <w:r>
        <w:rPr>
          <w:b w:val="0"/>
          <w:i w:val="0"/>
          <w:strike w:val="0"/>
        </w:rPr>
        <w:t xml:space="preserve"> – Ende-zu-Ende verschlüsselt</w:t>
      </w:r>
    </w:p>
    <w:p>
      <w:pPr>
        <w:rPr>
          <w:b w:val="0"/>
          <w:i w:val="0"/>
          <w:strike w:val="0"/>
        </w:rPr>
      </w:pPr>
      <w:r>
        <w:pict>
          <v:rect id="_x0000_i1027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Schritt-für-Schritt Einrichtung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1: API-Zugang anfordern</w:t>
      </w:r>
    </w:p>
    <w:p>
      <w:p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Kontaktieren Sie Ihre IT-Abteilung für </w:t>
      </w:r>
      <w:r>
        <w:rPr>
          <w:b/>
          <w:i w:val="0"/>
          <w:strike w:val="0"/>
        </w:rPr>
        <w:t>OneRoster API-Zugangsdaten</w:t>
      </w:r>
      <w:r>
        <w:rPr>
          <w:b w:val="0"/>
          <w:i w:val="0"/>
          <w:strike w:val="0"/>
        </w:rPr>
        <w:t>.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2: Verbindung konfigurieren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Gehen Sie zu </w:t>
      </w:r>
      <w:r>
        <w:rPr>
          <w:b/>
          <w:i w:val="0"/>
          <w:strike w:val="0"/>
        </w:rPr>
        <w:t>Einstellungen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Integrationen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Infinite Campus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Geben Sie die </w:t>
      </w:r>
      <w:r>
        <w:rPr>
          <w:b/>
          <w:i w:val="0"/>
          <w:strike w:val="0"/>
        </w:rPr>
        <w:t>API Basis-URL</w:t>
      </w:r>
      <w:r>
        <w:rPr>
          <w:b w:val="0"/>
          <w:i w:val="0"/>
          <w:strike w:val="0"/>
        </w:rPr>
        <w:t xml:space="preserve"> ein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Geben Sie </w:t>
      </w:r>
      <w:r>
        <w:rPr>
          <w:b/>
          <w:i w:val="0"/>
          <w:strike w:val="0"/>
        </w:rPr>
        <w:t>Consumer Key</w:t>
      </w:r>
      <w:r>
        <w:rPr>
          <w:b w:val="0"/>
          <w:i w:val="0"/>
          <w:strike w:val="0"/>
        </w:rPr>
        <w:t xml:space="preserve"> und </w:t>
      </w:r>
      <w:r>
        <w:rPr>
          <w:b/>
          <w:i w:val="0"/>
          <w:strike w:val="0"/>
        </w:rPr>
        <w:t>Consumer Secret</w:t>
      </w:r>
      <w:r>
        <w:rPr>
          <w:b w:val="0"/>
          <w:i w:val="0"/>
          <w:strike w:val="0"/>
        </w:rPr>
        <w:t xml:space="preserve"> ein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Klicken Sie auf </w:t>
      </w:r>
      <w:r>
        <w:rPr>
          <w:b/>
          <w:i w:val="0"/>
          <w:strike w:val="0"/>
        </w:rPr>
        <w:t>Verbindung testen</w:t>
      </w:r>
    </w:p>
    <w:p>
      <w:pPr>
        <w:rPr>
          <w:b w:val="0"/>
          <w:i w:val="0"/>
          <w:strike w:val="0"/>
        </w:rPr>
      </w:pPr>
      <w:r>
        <w:pict>
          <v:rect id="_x0000_i1028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Sicherheit &amp; Datenschutz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FERPA- &amp; DSGVO-konform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Daten verschlüsselt (AES-256)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Distrikt kontrolliert den Datenumfang</w:t>
      </w:r>
    </w:p>
    <w:p>
      <w:pPr>
        <w:rPr>
          <w:b w:val="0"/>
          <w:i w:val="0"/>
          <w:strike w:val="0"/>
        </w:rPr>
      </w:pPr>
      <w:r>
        <w:pict>
          <v:rect id="_x0000_i1029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Support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Hilfe-Center:</w:t>
      </w:r>
      <w:r>
        <w:rPr>
          <w:b w:val="0"/>
          <w:i w:val="0"/>
          <w:strike w:val="0"/>
        </w:rPr>
        <w:t xml:space="preserve"> help.zazadraft.com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E-Mail:</w:t>
      </w:r>
      <w:r>
        <w:rPr>
          <w:b w:val="0"/>
          <w:i w:val="0"/>
          <w:strike w:val="0"/>
        </w:rPr>
        <w:t xml:space="preserve"> support@zazadraft.com</w:t>
      </w:r>
    </w:p>
    <w:p>
      <w:pPr>
        <w:rPr>
          <w:b w:val="0"/>
          <w:i w:val="0"/>
          <w:strike w:val="0"/>
        </w:rPr>
      </w:pPr>
      <w:r>
        <w:pict>
          <v:rect id="_x0000_i1030" style="width:468pt;height:1.5pt" o:hrpct="1000" o:hrstd="t" o:hr="t" filled="t" fillcolor="gray" stroked="f">
            <v:path strokeok="f"/>
          </v:rect>
        </w:pict>
      </w:r>
    </w:p>
    <w:p>
      <w:pPr>
        <w:rPr>
          <w:b w:val="0"/>
          <w:i w:val="0"/>
          <w:strike w:val="0"/>
        </w:rPr>
      </w:pPr>
      <w:r>
        <w:rPr>
          <w:b w:val="0"/>
          <w:i/>
          <w:strike w:val="0"/>
        </w:rPr>
        <w:t>© 2025 Zaza Technologies. Alle Rechte vorbehalten.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