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Xe760eef7e2fa292fb69e2d4a545cddd2a211574"/>
    <w:p>
      <w:pPr>
        <w:pStyle w:val="Heading1"/>
      </w:pPr>
      <w:r>
        <w:t xml:space="preserve">Die Reset-Routine: Proaktives Classroom-Management</w:t>
      </w:r>
    </w:p>
    <w:p>
      <w:pPr>
        <w:pStyle w:val="FirstParagraph"/>
      </w:pPr>
      <w:r>
        <w:rPr>
          <w:i/>
          <w:iCs/>
        </w:rPr>
        <w:t xml:space="preserve">Ruhige, verlässliche Routinen schützen Lernzeit.</w:t>
      </w:r>
    </w:p>
    <w:bookmarkStart w:id="9" w:name="warum-dieses-handbuch"/>
    <w:p>
      <w:pPr>
        <w:pStyle w:val="Heading2"/>
      </w:pPr>
      <w:r>
        <w:t xml:space="preserve">Warum dieses Handbuch</w:t>
      </w:r>
    </w:p>
    <w:p>
      <w:pPr>
        <w:pStyle w:val="FirstParagraph"/>
      </w:pPr>
      <w:r>
        <w:t xml:space="preserve">Ein vorhersehbarer Start plus wenige, stille Interventionen verhindern die meisten Störungen. Dieses Handbuch hilft, Routinen einzuführen, ohne Unterricht zu unterbrechen.</w:t>
      </w:r>
    </w:p>
    <w:bookmarkEnd w:id="9"/>
    <w:bookmarkStart w:id="10" w:name="Xd0f8593c2d6282c59375aeb59aaad2b44b96daa"/>
    <w:p>
      <w:pPr>
        <w:pStyle w:val="Heading2"/>
      </w:pPr>
      <w:r>
        <w:t xml:space="preserve">1) Die ersten 5 Minuten</w:t>
      </w:r>
    </w:p>
    <w:p>
      <w:pPr>
        <w:pStyle w:val="FirstParagraph"/>
      </w:pPr>
      <w:r>
        <w:rPr>
          <w:b/>
          <w:bCs/>
        </w:rPr>
        <w:t xml:space="preserve">Ziel:</w:t>
      </w:r>
      <w:r>
        <w:t xml:space="preserve"> </w:t>
      </w:r>
      <w:r>
        <w:t xml:space="preserve">Alle arbeiten nach 60 Sekunden.</w:t>
      </w:r>
    </w:p>
    <w:p>
      <w:pPr>
        <w:pStyle w:val="BodyText"/>
      </w:pPr>
      <w:r>
        <w:rPr>
          <w:b/>
          <w:bCs/>
        </w:rPr>
        <w:t xml:space="preserve">Setup</w:t>
      </w:r>
    </w:p>
    <w:p>
      <w:pPr>
        <w:pStyle w:val="Compact"/>
        <w:numPr>
          <w:ilvl w:val="0"/>
          <w:numId w:val="1001"/>
        </w:numPr>
      </w:pPr>
      <w:r>
        <w:t xml:space="preserve">Begrüßung an der Tür; kurzer Stimmungs-/Material-Check.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 Now</w:t>
      </w:r>
      <w:r>
        <w:t xml:space="preserve"> </w:t>
      </w:r>
      <w:r>
        <w:t xml:space="preserve">klar sichtbar, 3–5 Minuten machbar.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Timer</w:t>
      </w:r>
      <w:r>
        <w:t xml:space="preserve"> </w:t>
      </w:r>
      <w:r>
        <w:t xml:space="preserve">läuft, bevor die Klasse kommt.</w:t>
      </w:r>
    </w:p>
    <w:p>
      <w:pPr>
        <w:pStyle w:val="Compact"/>
        <w:numPr>
          <w:ilvl w:val="0"/>
          <w:numId w:val="1001"/>
        </w:numPr>
      </w:pPr>
      <w:r>
        <w:t xml:space="preserve">Materialien bereit; Anwesenheit während des Do Now.</w:t>
      </w:r>
    </w:p>
    <w:p>
      <w:pPr>
        <w:pStyle w:val="FirstParagraph"/>
      </w:pPr>
      <w:r>
        <w:rPr>
          <w:b/>
          <w:bCs/>
        </w:rPr>
        <w:t xml:space="preserve">Einstiegsformate</w:t>
      </w:r>
    </w:p>
    <w:p>
      <w:pPr>
        <w:pStyle w:val="Compact"/>
        <w:numPr>
          <w:ilvl w:val="0"/>
          <w:numId w:val="1002"/>
        </w:numPr>
      </w:pPr>
      <w:r>
        <w:t xml:space="preserve">2–3 Wiederholungsfragen</w:t>
      </w:r>
    </w:p>
    <w:p>
      <w:pPr>
        <w:pStyle w:val="Compact"/>
        <w:numPr>
          <w:ilvl w:val="0"/>
          <w:numId w:val="1002"/>
        </w:numPr>
      </w:pPr>
      <w:r>
        <w:t xml:space="preserve">Beispiel + Markierung des Schlüsselschritts</w:t>
      </w:r>
    </w:p>
    <w:p>
      <w:pPr>
        <w:pStyle w:val="Compact"/>
        <w:numPr>
          <w:ilvl w:val="0"/>
          <w:numId w:val="1002"/>
        </w:numPr>
      </w:pPr>
      <w:r>
        <w:t xml:space="preserve">Sortieren/Zuordnen (Karten auf den Tischen)</w:t>
      </w:r>
    </w:p>
    <w:p>
      <w:pPr>
        <w:pStyle w:val="Compact"/>
        <w:numPr>
          <w:ilvl w:val="0"/>
          <w:numId w:val="1002"/>
        </w:numPr>
      </w:pPr>
      <w:r>
        <w:t xml:space="preserve">Schätz- oder Prognosefrage</w:t>
      </w:r>
    </w:p>
    <w:p>
      <w:pPr>
        <w:pStyle w:val="FirstParagraph"/>
      </w:pPr>
      <w:r>
        <w:rPr>
          <w:b/>
          <w:bCs/>
        </w:rPr>
        <w:t xml:space="preserve">Übergangsskript</w:t>
      </w:r>
    </w:p>
    <w:p>
      <w:pPr>
        <w:pStyle w:val="BlockText"/>
      </w:pPr>
      <w:r>
        <w:t xml:space="preserve">„Wenn der Timer endet: Stifte hinlegen, Blick nach vorn. Wir checken Aufgabe 2 gemeinsam.“</w:t>
      </w:r>
    </w:p>
    <w:bookmarkEnd w:id="10"/>
    <w:bookmarkStart w:id="11" w:name="Xdfe7dfb85c3297752a7a726e14cc3d7d8b05dfe"/>
    <w:p>
      <w:pPr>
        <w:pStyle w:val="Heading2"/>
      </w:pPr>
      <w:r>
        <w:t xml:space="preserve">2) Nonverbale Interventionen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Signal</w:t>
            </w:r>
          </w:p>
        </w:tc>
        <w:tc>
          <w:tcPr/>
          <w:p>
            <w:pPr>
              <w:pStyle w:val="Compact"/>
            </w:pPr>
            <w:r>
              <w:t xml:space="preserve">Einsatz</w:t>
            </w:r>
          </w:p>
        </w:tc>
        <w:tc>
          <w:tcPr/>
          <w:p>
            <w:pPr>
              <w:pStyle w:val="Compact"/>
            </w:pPr>
            <w:r>
              <w:t xml:space="preserve">Beispiel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Nähe</w:t>
            </w:r>
          </w:p>
        </w:tc>
        <w:tc>
          <w:tcPr/>
          <w:p>
            <w:pPr>
              <w:pStyle w:val="Compact"/>
            </w:pPr>
            <w:r>
              <w:t xml:space="preserve">hinübergehen</w:t>
            </w:r>
          </w:p>
        </w:tc>
        <w:tc>
          <w:tcPr/>
          <w:p>
            <w:pPr>
              <w:pStyle w:val="Compact"/>
            </w:pPr>
            <w:r>
              <w:t xml:space="preserve">weiter unterrichten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Pause</w:t>
            </w:r>
          </w:p>
        </w:tc>
        <w:tc>
          <w:tcPr/>
          <w:p>
            <w:pPr>
              <w:pStyle w:val="Compact"/>
            </w:pPr>
            <w:r>
              <w:t xml:space="preserve">2–3s Stillstand</w:t>
            </w:r>
          </w:p>
        </w:tc>
        <w:tc>
          <w:tcPr/>
          <w:p>
            <w:pPr>
              <w:pStyle w:val="Compact"/>
            </w:pPr>
            <w:r>
              <w:t xml:space="preserve">Aufmerksamkeit kehrt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Name an Tafel</w:t>
            </w:r>
          </w:p>
        </w:tc>
        <w:tc>
          <w:tcPr/>
          <w:p>
            <w:pPr>
              <w:pStyle w:val="Compact"/>
            </w:pPr>
            <w:r>
              <w:t xml:space="preserve">Erinnerung</w:t>
            </w:r>
          </w:p>
        </w:tc>
        <w:tc>
          <w:tcPr/>
          <w:p>
            <w:pPr>
              <w:pStyle w:val="Compact"/>
            </w:pPr>
            <w:r>
              <w:t xml:space="preserve">ohne Kommentar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Hinweis-Karte</w:t>
            </w:r>
          </w:p>
        </w:tc>
        <w:tc>
          <w:tcPr/>
          <w:p>
            <w:pPr>
              <w:pStyle w:val="Compact"/>
            </w:pPr>
            <w:r>
              <w:t xml:space="preserve">visuell</w:t>
            </w:r>
          </w:p>
        </w:tc>
        <w:tc>
          <w:tcPr/>
          <w:p>
            <w:pPr>
              <w:pStyle w:val="Compact"/>
            </w:pPr>
            <w:r>
              <w:t xml:space="preserve">„Handy weg“-Karte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Tippen &amp; zeigen</w:t>
            </w:r>
          </w:p>
        </w:tc>
        <w:tc>
          <w:tcPr/>
          <w:p>
            <w:pPr>
              <w:pStyle w:val="Compact"/>
            </w:pPr>
            <w:r>
              <w:t xml:space="preserve">auf Hinweis</w:t>
            </w:r>
          </w:p>
        </w:tc>
        <w:tc>
          <w:tcPr/>
          <w:p>
            <w:pPr>
              <w:pStyle w:val="Compact"/>
            </w:pPr>
            <w:r>
              <w:t xml:space="preserve">Do-Now / Rubrik</w:t>
            </w:r>
          </w:p>
        </w:tc>
      </w:tr>
    </w:tbl>
    <w:p>
      <w:pPr>
        <w:pStyle w:val="BlockText"/>
      </w:pPr>
      <w:r>
        <w:rPr>
          <w:b/>
          <w:bCs/>
        </w:rPr>
        <w:t xml:space="preserve">Regel:</w:t>
      </w:r>
      <w:r>
        <w:t xml:space="preserve"> </w:t>
      </w:r>
      <w:r>
        <w:t xml:space="preserve">Wenn nonverbal wirkt, keine Ansprache hinzufügen.</w:t>
      </w:r>
    </w:p>
    <w:bookmarkEnd w:id="11"/>
    <w:bookmarkStart w:id="12" w:name="Xcf91dcd8f431e202f8669d863ba9beb3a05dc53"/>
    <w:p>
      <w:pPr>
        <w:pStyle w:val="Heading2"/>
      </w:pPr>
      <w:r>
        <w:t xml:space="preserve">3) Erwartungen gemeinsam festlegen (15–20 Min)</w:t>
      </w:r>
    </w:p>
    <w:p>
      <w:pPr>
        <w:pStyle w:val="FirstParagraph"/>
      </w:pPr>
      <w:r>
        <w:t xml:space="preserve">3–5</w:t>
      </w:r>
      <w:r>
        <w:t xml:space="preserve"> </w:t>
      </w:r>
      <w:r>
        <w:rPr>
          <w:b/>
          <w:bCs/>
        </w:rPr>
        <w:t xml:space="preserve">positive, beobachtbare</w:t>
      </w:r>
      <w:r>
        <w:t xml:space="preserve"> </w:t>
      </w:r>
      <w:r>
        <w:t xml:space="preserve">Regeln mit Beispielen erarbeiten und wöchentlich kurz wiederholen.</w:t>
      </w:r>
    </w:p>
    <w:bookmarkEnd w:id="12"/>
    <w:bookmarkStart w:id="13" w:name="X205a85facb6755468d2351cdfaf489a5831623b"/>
    <w:p>
      <w:pPr>
        <w:pStyle w:val="Heading2"/>
      </w:pPr>
      <w:r>
        <w:t xml:space="preserve">4) Kurzskripte für schwierige Momente</w:t>
      </w:r>
    </w:p>
    <w:p>
      <w:pPr>
        <w:pStyle w:val="FirstParagraph"/>
      </w:pPr>
      <w:r>
        <w:rPr>
          <w:b/>
          <w:bCs/>
        </w:rPr>
        <w:t xml:space="preserve">Widerstand:</w:t>
      </w:r>
    </w:p>
    <w:p>
      <w:pPr>
        <w:pStyle w:val="BlockText"/>
      </w:pPr>
      <w:r>
        <w:t xml:space="preserve">„Ich höre dich. Wir reden nach</w:t>
      </w:r>
      <w:r>
        <w:t xml:space="preserve"> </w:t>
      </w:r>
      <w:r>
        <w:rPr>
          <w:b/>
          <w:bCs/>
        </w:rPr>
        <w:t xml:space="preserve">[Zeit]</w:t>
      </w:r>
      <w:r>
        <w:t xml:space="preserve">. Jetzt gilt die Anweisung</w:t>
      </w:r>
      <w:r>
        <w:t xml:space="preserve"> </w:t>
      </w:r>
      <w:r>
        <w:rPr>
          <w:b/>
          <w:bCs/>
        </w:rPr>
        <w:t xml:space="preserve">[X]</w:t>
      </w:r>
      <w:r>
        <w:t xml:space="preserve">.“</w:t>
      </w:r>
    </w:p>
    <w:p>
      <w:pPr>
        <w:pStyle w:val="FirstParagraph"/>
      </w:pPr>
      <w:r>
        <w:rPr>
          <w:b/>
          <w:bCs/>
        </w:rPr>
        <w:t xml:space="preserve">Abschalten:</w:t>
      </w:r>
    </w:p>
    <w:p>
      <w:pPr>
        <w:pStyle w:val="BlockText"/>
      </w:pPr>
      <w:r>
        <w:t xml:space="preserve">„Wir starten zusammen mit der ersten – dann machst du die nächste.“</w:t>
      </w:r>
    </w:p>
    <w:p>
      <w:pPr>
        <w:pStyle w:val="FirstParagraph"/>
      </w:pPr>
      <w:r>
        <w:rPr>
          <w:b/>
          <w:bCs/>
        </w:rPr>
        <w:t xml:space="preserve">Seitengespräche:</w:t>
      </w:r>
    </w:p>
    <w:p>
      <w:pPr>
        <w:pStyle w:val="BlockText"/>
      </w:pPr>
      <w:r>
        <w:t xml:space="preserve">„Stimmen aus. Sprecher*in verfolgen.“</w:t>
      </w:r>
    </w:p>
    <w:p>
      <w:pPr>
        <w:pStyle w:val="FirstParagraph"/>
      </w:pPr>
      <w:r>
        <w:rPr>
          <w:b/>
          <w:bCs/>
        </w:rPr>
        <w:t xml:space="preserve">Sicherheitslinie:</w:t>
      </w:r>
    </w:p>
    <w:p>
      <w:pPr>
        <w:pStyle w:val="BlockText"/>
      </w:pPr>
      <w:r>
        <w:t xml:space="preserve">„Wir pausieren. Bitte vor die Tür; ich komme in 30 Sekunden.“</w:t>
      </w:r>
    </w:p>
    <w:bookmarkEnd w:id="13"/>
    <w:bookmarkStart w:id="14" w:name="Xb80c0750974c2e9b14153b916577d9322a58ce9"/>
    <w:p>
      <w:pPr>
        <w:pStyle w:val="Heading2"/>
      </w:pPr>
      <w:r>
        <w:t xml:space="preserve">5) Korrekturroutine (2–4 Min)</w:t>
      </w:r>
    </w:p>
    <w:p>
      <w:pPr>
        <w:pStyle w:val="Compact"/>
        <w:numPr>
          <w:ilvl w:val="0"/>
          <w:numId w:val="1003"/>
        </w:numPr>
      </w:pPr>
      <w:r>
        <w:t xml:space="preserve">Routine benennen: „Reset: verfolgen, Material raus, Stimmen aus.“</w:t>
      </w:r>
    </w:p>
    <w:p>
      <w:pPr>
        <w:pStyle w:val="Compact"/>
        <w:numPr>
          <w:ilvl w:val="0"/>
          <w:numId w:val="1003"/>
        </w:numPr>
      </w:pPr>
      <w:r>
        <w:t xml:space="preserve">10–15 Sek. mikroproben.</w:t>
      </w:r>
    </w:p>
    <w:p>
      <w:pPr>
        <w:pStyle w:val="Compact"/>
        <w:numPr>
          <w:ilvl w:val="0"/>
          <w:numId w:val="1003"/>
        </w:numPr>
      </w:pPr>
      <w:r>
        <w:t xml:space="preserve">Direkt weiter unterrichten.</w:t>
      </w:r>
    </w:p>
    <w:bookmarkEnd w:id="14"/>
    <w:bookmarkStart w:id="15" w:name="X2073cb29be1cbc409d08333956d0ca156aa51dc"/>
    <w:p>
      <w:pPr>
        <w:pStyle w:val="Heading2"/>
      </w:pPr>
      <w:r>
        <w:t xml:space="preserve">6) Mini-Tracking (1 Seite)</w:t>
      </w:r>
    </w:p>
    <w:p>
      <w:pPr>
        <w:pStyle w:val="Compact"/>
        <w:numPr>
          <w:ilvl w:val="0"/>
          <w:numId w:val="1004"/>
        </w:numPr>
      </w:pPr>
      <w:r>
        <w:t xml:space="preserve">Pünktlich-Start-% (wöchentlich)</w:t>
      </w:r>
    </w:p>
    <w:p>
      <w:pPr>
        <w:pStyle w:val="Compact"/>
        <w:numPr>
          <w:ilvl w:val="0"/>
          <w:numId w:val="1004"/>
        </w:numPr>
      </w:pPr>
      <w:r>
        <w:t xml:space="preserve">Redirects (✔ nonverbal, V verbal)</w:t>
      </w:r>
    </w:p>
    <w:p>
      <w:pPr>
        <w:pStyle w:val="Compact"/>
        <w:numPr>
          <w:ilvl w:val="0"/>
          <w:numId w:val="1004"/>
        </w:numPr>
      </w:pPr>
      <w:r>
        <w:t xml:space="preserve">Follow-ups (1–2 Namen + Maßnahme)</w:t>
      </w:r>
    </w:p>
    <w:bookmarkEnd w:id="15"/>
    <w:bookmarkStart w:id="16" w:name="Xb45f6d6467dac85891a6d6dd5a857d36e626bb0"/>
    <w:p>
      <w:pPr>
        <w:pStyle w:val="Heading2"/>
      </w:pPr>
      <w:r>
        <w:t xml:space="preserve">7) Elternkommunikation (kurze Textbausteine)</w:t>
      </w:r>
    </w:p>
    <w:p>
      <w:pPr>
        <w:pStyle w:val="FirstParagraph"/>
      </w:pPr>
      <w:r>
        <w:rPr>
          <w:b/>
          <w:bCs/>
        </w:rPr>
        <w:t xml:space="preserve">Positiv:</w:t>
      </w:r>
    </w:p>
    <w:p>
      <w:pPr>
        <w:pStyle w:val="BlockText"/>
      </w:pPr>
      <w:r>
        <w:t xml:space="preserve">„Kurzes Update – X leitete heute die Gruppenrunde sehr souverän.“</w:t>
      </w:r>
    </w:p>
    <w:p>
      <w:pPr>
        <w:pStyle w:val="FirstParagraph"/>
      </w:pPr>
      <w:r>
        <w:rPr>
          <w:b/>
          <w:bCs/>
        </w:rPr>
        <w:t xml:space="preserve">Rückmeldung:</w:t>
      </w:r>
    </w:p>
    <w:p>
      <w:pPr>
        <w:pStyle w:val="BlockText"/>
      </w:pPr>
      <w:r>
        <w:t xml:space="preserve">„X verpasste den Starter und brauchte zwei Erinnerungen. Bitte erinnert zu Hause daran, den Do Now sofort zu beginnen.“</w:t>
      </w:r>
    </w:p>
    <w:p>
      <w:pPr>
        <w:pStyle w:val="FirstParagraph"/>
      </w:pPr>
      <w:r>
        <w:t xml:space="preserve">—</w:t>
      </w:r>
      <w:r>
        <w:br/>
      </w:r>
      <w:r>
        <w:rPr>
          <w:i/>
          <w:iCs/>
        </w:rPr>
        <w:t xml:space="preserve">Zaza Draft Tipp:</w:t>
      </w:r>
      <w:r>
        <w:t xml:space="preserve"> </w:t>
      </w:r>
      <w:r>
        <w:t xml:space="preserve">Routinen hier einfügen → Erinnerungsfolien &amp; Karten automatisch erzeugen.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2025-10-21T02:33:17Z</dcterms:created>
  <dcterms:modified xsi:type="dcterms:W3CDTF">2025-10-21T02:33:17Z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