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Xf429766dceddd2c2ac252e2b4a17ed6ebca09cd"/>
    <w:p>
      <w:pPr>
        <w:pStyle w:val="Heading1"/>
      </w:pPr>
      <w:r>
        <w:t xml:space="preserve">The Reset Routine: A Proactive Classroom Management Guide</w:t>
      </w:r>
    </w:p>
    <w:p>
      <w:pPr>
        <w:pStyle w:val="FirstParagraph"/>
      </w:pPr>
      <w:r>
        <w:rPr>
          <w:i/>
          <w:iCs/>
        </w:rPr>
        <w:t xml:space="preserve">Calm, consistent routines that protect learning time.</w:t>
      </w:r>
    </w:p>
    <w:bookmarkStart w:id="9" w:name="why-this-guide"/>
    <w:p>
      <w:pPr>
        <w:pStyle w:val="Heading2"/>
      </w:pPr>
      <w:r>
        <w:t xml:space="preserve">Why this guide</w:t>
      </w:r>
    </w:p>
    <w:p>
      <w:pPr>
        <w:pStyle w:val="FirstParagraph"/>
      </w:pPr>
      <w:r>
        <w:t xml:space="preserve">A predictable start and a few low-effort interventions prevent 80% of disruptions. Use this guide to set routines, redirect non-compliance without power struggles, and script difficult moments.</w:t>
      </w:r>
    </w:p>
    <w:bookmarkEnd w:id="9"/>
    <w:bookmarkStart w:id="10" w:name="Xcace469dae1bd3f443961af3baf30eb1d9ff034"/>
    <w:p>
      <w:pPr>
        <w:pStyle w:val="Heading2"/>
      </w:pPr>
      <w:r>
        <w:t xml:space="preserve">1) First 5 Minutes: a consistent opening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Every learner is engaged within 60 seconds.</w:t>
      </w:r>
    </w:p>
    <w:p>
      <w:pPr>
        <w:pStyle w:val="BodyText"/>
      </w:pPr>
      <w:r>
        <w:rPr>
          <w:b/>
          <w:bCs/>
        </w:rPr>
        <w:t xml:space="preserve">Setup checklist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Greet at the door</w:t>
      </w:r>
      <w:r>
        <w:t xml:space="preserve"> </w:t>
      </w:r>
      <w:r>
        <w:t xml:space="preserve">(names if possible). Quick scan for mood/materials.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Do Now visible</w:t>
      </w:r>
      <w:r>
        <w:t xml:space="preserve"> </w:t>
      </w:r>
      <w:r>
        <w:t xml:space="preserve">(on screen/board) and</w:t>
      </w:r>
      <w:r>
        <w:t xml:space="preserve"> </w:t>
      </w:r>
      <w:r>
        <w:rPr>
          <w:b/>
          <w:bCs/>
        </w:rPr>
        <w:t xml:space="preserve">doable in 3–5 min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Timer running</w:t>
      </w:r>
      <w:r>
        <w:t xml:space="preserve"> </w:t>
      </w:r>
      <w:r>
        <w:t xml:space="preserve">before students enter.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Materials ready</w:t>
      </w:r>
      <w:r>
        <w:t xml:space="preserve"> </w:t>
      </w:r>
      <w:r>
        <w:t xml:space="preserve">(tray per table or bins).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Attendance</w:t>
      </w:r>
      <w:r>
        <w:t xml:space="preserve"> </w:t>
      </w:r>
      <w:r>
        <w:t xml:space="preserve">during Do Now; circulate.</w:t>
      </w:r>
    </w:p>
    <w:p>
      <w:pPr>
        <w:pStyle w:val="FirstParagraph"/>
      </w:pPr>
      <w:r>
        <w:rPr>
          <w:b/>
          <w:bCs/>
        </w:rPr>
        <w:t xml:space="preserve">Starter bank (pick one)</w:t>
      </w:r>
    </w:p>
    <w:p>
      <w:pPr>
        <w:pStyle w:val="Compact"/>
        <w:numPr>
          <w:ilvl w:val="0"/>
          <w:numId w:val="1002"/>
        </w:numPr>
      </w:pPr>
      <w:r>
        <w:t xml:space="preserve">Retrieval questions (2–3 quick Qs from last lesson)</w:t>
      </w:r>
    </w:p>
    <w:p>
      <w:pPr>
        <w:pStyle w:val="Compact"/>
        <w:numPr>
          <w:ilvl w:val="0"/>
          <w:numId w:val="1002"/>
        </w:numPr>
      </w:pPr>
      <w:r>
        <w:t xml:space="preserve">Model &amp; label (copy a correct example; highlight key step)</w:t>
      </w:r>
    </w:p>
    <w:p>
      <w:pPr>
        <w:pStyle w:val="Compact"/>
        <w:numPr>
          <w:ilvl w:val="0"/>
          <w:numId w:val="1002"/>
        </w:numPr>
      </w:pPr>
      <w:r>
        <w:t xml:space="preserve">Silent sort/match (cards on desks; students match pairs)</w:t>
      </w:r>
    </w:p>
    <w:p>
      <w:pPr>
        <w:pStyle w:val="Compact"/>
        <w:numPr>
          <w:ilvl w:val="0"/>
          <w:numId w:val="1002"/>
        </w:numPr>
      </w:pPr>
      <w:r>
        <w:t xml:space="preserve">Estimation or prediction prompt</w:t>
      </w:r>
    </w:p>
    <w:p>
      <w:pPr>
        <w:pStyle w:val="FirstParagraph"/>
      </w:pPr>
      <w:r>
        <w:rPr>
          <w:b/>
          <w:bCs/>
        </w:rPr>
        <w:t xml:space="preserve">Transition script (10–15s)</w:t>
      </w:r>
    </w:p>
    <w:p>
      <w:pPr>
        <w:pStyle w:val="BlockText"/>
      </w:pPr>
      <w:r>
        <w:t xml:space="preserve">“When the timer ends: pencils down, eyes front. We’ll check #2 together.”</w:t>
      </w:r>
    </w:p>
    <w:bookmarkEnd w:id="10"/>
    <w:bookmarkStart w:id="11" w:name="X23ac6a325e2aacfa58a4ad84ed1aab333af61ce"/>
    <w:p>
      <w:pPr>
        <w:pStyle w:val="Heading2"/>
      </w:pPr>
      <w:r>
        <w:t xml:space="preserve">2) Non-verbal interventions that don’t stop teaching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i/>
          <w:iCs/>
        </w:rPr>
        <w:t xml:space="preserve">private, brief, consistent</w:t>
      </w:r>
      <w:r>
        <w:t xml:space="preserve"> </w:t>
      </w:r>
      <w:r>
        <w:t xml:space="preserve">signals before verbal redirection.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Signal</w:t>
            </w:r>
          </w:p>
        </w:tc>
        <w:tc>
          <w:tcPr/>
          <w:p>
            <w:pPr>
              <w:pStyle w:val="Compact"/>
            </w:pPr>
            <w:r>
              <w:t xml:space="preserve">Use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Proximity</w:t>
            </w:r>
          </w:p>
        </w:tc>
        <w:tc>
          <w:tcPr/>
          <w:p>
            <w:pPr>
              <w:pStyle w:val="Compact"/>
            </w:pPr>
            <w:r>
              <w:t xml:space="preserve">drift closer</w:t>
            </w:r>
          </w:p>
        </w:tc>
        <w:tc>
          <w:tcPr/>
          <w:p>
            <w:pPr>
              <w:pStyle w:val="Compact"/>
            </w:pPr>
            <w:r>
              <w:t xml:space="preserve">Keep teaching while you move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Pause</w:t>
            </w:r>
          </w:p>
        </w:tc>
        <w:tc>
          <w:tcPr/>
          <w:p>
            <w:pPr>
              <w:pStyle w:val="Compact"/>
            </w:pPr>
            <w:r>
              <w:t xml:space="preserve">2–3s silence</w:t>
            </w:r>
          </w:p>
        </w:tc>
        <w:tc>
          <w:tcPr/>
          <w:p>
            <w:pPr>
              <w:pStyle w:val="Compact"/>
            </w:pPr>
            <w:r>
              <w:t xml:space="preserve">Wait for attention to return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Name on board</w:t>
            </w:r>
          </w:p>
        </w:tc>
        <w:tc>
          <w:tcPr/>
          <w:p>
            <w:pPr>
              <w:pStyle w:val="Compact"/>
            </w:pPr>
            <w:r>
              <w:t xml:space="preserve">remind expectations</w:t>
            </w:r>
          </w:p>
        </w:tc>
        <w:tc>
          <w:tcPr/>
          <w:p>
            <w:pPr>
              <w:pStyle w:val="Compact"/>
            </w:pPr>
            <w:r>
              <w:t xml:space="preserve">no commentary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Cue card</w:t>
            </w:r>
          </w:p>
        </w:tc>
        <w:tc>
          <w:tcPr/>
          <w:p>
            <w:pPr>
              <w:pStyle w:val="Compact"/>
            </w:pPr>
            <w:r>
              <w:t xml:space="preserve">visual reminder</w:t>
            </w:r>
          </w:p>
        </w:tc>
        <w:tc>
          <w:tcPr/>
          <w:p>
            <w:pPr>
              <w:pStyle w:val="Compact"/>
            </w:pPr>
            <w:r>
              <w:t xml:space="preserve">“Phone away” card on desk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Tap &amp; point</w:t>
            </w:r>
          </w:p>
        </w:tc>
        <w:tc>
          <w:tcPr/>
          <w:p>
            <w:pPr>
              <w:pStyle w:val="Compact"/>
            </w:pPr>
            <w:r>
              <w:t xml:space="preserve">to instruction</w:t>
            </w:r>
          </w:p>
        </w:tc>
        <w:tc>
          <w:tcPr/>
          <w:p>
            <w:pPr>
              <w:pStyle w:val="Compact"/>
            </w:pPr>
            <w:r>
              <w:t xml:space="preserve">point at Do Now / rubric</w:t>
            </w:r>
          </w:p>
        </w:tc>
      </w:tr>
    </w:tbl>
    <w:p>
      <w:pPr>
        <w:pStyle w:val="BlockText"/>
      </w:pPr>
      <w:r>
        <w:rPr>
          <w:b/>
          <w:bCs/>
        </w:rPr>
        <w:t xml:space="preserve">Rule:</w:t>
      </w:r>
      <w:r>
        <w:t xml:space="preserve"> </w:t>
      </w:r>
      <w:r>
        <w:t xml:space="preserve">If a non-verbal works, don’t add a lecture.</w:t>
      </w:r>
    </w:p>
    <w:bookmarkEnd w:id="11"/>
    <w:bookmarkStart w:id="12" w:name="Xee12972230e4d8246e3247388a0a7d9f49b9395"/>
    <w:p>
      <w:pPr>
        <w:pStyle w:val="Heading2"/>
      </w:pPr>
      <w:r>
        <w:t xml:space="preserve">3) Co-creating expectations (15–20 min mini-lesson)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3–5 positive, observable rules.</w:t>
      </w:r>
    </w:p>
    <w:p>
      <w:pPr>
        <w:pStyle w:val="Compact"/>
        <w:numPr>
          <w:ilvl w:val="0"/>
          <w:numId w:val="1003"/>
        </w:numPr>
      </w:pPr>
      <w:r>
        <w:t xml:space="preserve">Ask: “What does great learning</w:t>
      </w:r>
      <w:r>
        <w:t xml:space="preserve"> </w:t>
      </w:r>
      <w:r>
        <w:rPr>
          <w:i/>
          <w:iCs/>
        </w:rPr>
        <w:t xml:space="preserve">look/sound</w:t>
      </w:r>
      <w:r>
        <w:t xml:space="preserve"> </w:t>
      </w:r>
      <w:r>
        <w:t xml:space="preserve">like here?”</w:t>
      </w:r>
    </w:p>
    <w:p>
      <w:pPr>
        <w:pStyle w:val="Compact"/>
        <w:numPr>
          <w:ilvl w:val="0"/>
          <w:numId w:val="1003"/>
        </w:numPr>
      </w:pPr>
      <w:r>
        <w:t xml:space="preserve">Build a T-chart from student examples.</w:t>
      </w:r>
    </w:p>
    <w:p>
      <w:pPr>
        <w:pStyle w:val="Compact"/>
        <w:numPr>
          <w:ilvl w:val="0"/>
          <w:numId w:val="1003"/>
        </w:numPr>
      </w:pPr>
      <w:r>
        <w:t xml:space="preserve">Finalise rules and</w:t>
      </w:r>
      <w:r>
        <w:t xml:space="preserve"> </w:t>
      </w:r>
      <w:r>
        <w:rPr>
          <w:i/>
          <w:iCs/>
        </w:rPr>
        <w:t xml:space="preserve">examples for each rule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Post the chart; revisit weekly (2 minutes).</w:t>
      </w:r>
    </w:p>
    <w:p>
      <w:pPr>
        <w:pStyle w:val="FirstParagraph"/>
      </w:pPr>
      <w:r>
        <w:rPr>
          <w:b/>
          <w:bCs/>
        </w:rPr>
        <w:t xml:space="preserve">Rule examples (observable)</w:t>
      </w:r>
    </w:p>
    <w:p>
      <w:pPr>
        <w:pStyle w:val="Compact"/>
        <w:numPr>
          <w:ilvl w:val="0"/>
          <w:numId w:val="1004"/>
        </w:numPr>
      </w:pPr>
      <w:r>
        <w:t xml:space="preserve">“Phones in bags unless asked.”</w:t>
      </w:r>
    </w:p>
    <w:p>
      <w:pPr>
        <w:pStyle w:val="Compact"/>
        <w:numPr>
          <w:ilvl w:val="0"/>
          <w:numId w:val="1004"/>
        </w:numPr>
      </w:pPr>
      <w:r>
        <w:t xml:space="preserve">“One voice at a time.”</w:t>
      </w:r>
    </w:p>
    <w:p>
      <w:pPr>
        <w:pStyle w:val="Compact"/>
        <w:numPr>
          <w:ilvl w:val="0"/>
          <w:numId w:val="1004"/>
        </w:numPr>
      </w:pPr>
      <w:r>
        <w:t xml:space="preserve">“We start with Do Now.”</w:t>
      </w:r>
    </w:p>
    <w:bookmarkEnd w:id="12"/>
    <w:bookmarkStart w:id="13" w:name="X53d8aea87546cae8631d0ea5d54225fd5df1713"/>
    <w:p>
      <w:pPr>
        <w:pStyle w:val="Heading2"/>
      </w:pPr>
      <w:r>
        <w:t xml:space="preserve">4) When a moment escalates: short scripts</w:t>
      </w:r>
    </w:p>
    <w:p>
      <w:pPr>
        <w:pStyle w:val="FirstParagraph"/>
      </w:pPr>
      <w:r>
        <w:rPr>
          <w:b/>
          <w:bCs/>
        </w:rPr>
        <w:t xml:space="preserve">Defiance →</w:t>
      </w:r>
      <w:r>
        <w:t xml:space="preserve"> </w:t>
      </w:r>
      <w:r>
        <w:t xml:space="preserve">keep direction clear, emotion low</w:t>
      </w:r>
    </w:p>
    <w:p>
      <w:pPr>
        <w:pStyle w:val="BlockText"/>
      </w:pPr>
      <w:r>
        <w:t xml:space="preserve">“I hear you. We’ll talk after</w:t>
      </w:r>
      <w:r>
        <w:t xml:space="preserve"> </w:t>
      </w:r>
      <w:r>
        <w:rPr>
          <w:b/>
          <w:bCs/>
        </w:rPr>
        <w:t xml:space="preserve">[time]</w:t>
      </w:r>
      <w:r>
        <w:t xml:space="preserve">. For now, the direction is</w:t>
      </w:r>
      <w:r>
        <w:t xml:space="preserve"> </w:t>
      </w:r>
      <w:r>
        <w:rPr>
          <w:b/>
          <w:bCs/>
        </w:rPr>
        <w:t xml:space="preserve">[X]</w:t>
      </w:r>
      <w:r>
        <w:t xml:space="preserve">.”</w:t>
      </w:r>
    </w:p>
    <w:p>
      <w:pPr>
        <w:pStyle w:val="FirstParagraph"/>
      </w:pPr>
      <w:r>
        <w:rPr>
          <w:b/>
          <w:bCs/>
        </w:rPr>
        <w:t xml:space="preserve">Disengagement →</w:t>
      </w:r>
      <w:r>
        <w:t xml:space="preserve"> </w:t>
      </w:r>
      <w:r>
        <w:t xml:space="preserve">get them started</w:t>
      </w:r>
    </w:p>
    <w:p>
      <w:pPr>
        <w:pStyle w:val="BlockText"/>
      </w:pPr>
      <w:r>
        <w:t xml:space="preserve">“Let’s do the first one together—then you try the next.”</w:t>
      </w:r>
    </w:p>
    <w:p>
      <w:pPr>
        <w:pStyle w:val="FirstParagraph"/>
      </w:pPr>
      <w:r>
        <w:rPr>
          <w:b/>
          <w:bCs/>
        </w:rPr>
        <w:t xml:space="preserve">Side-talk →</w:t>
      </w:r>
      <w:r>
        <w:t xml:space="preserve"> </w:t>
      </w:r>
      <w:r>
        <w:t xml:space="preserve">redirect the behaviour, not the person</w:t>
      </w:r>
    </w:p>
    <w:p>
      <w:pPr>
        <w:pStyle w:val="BlockText"/>
      </w:pPr>
      <w:r>
        <w:t xml:space="preserve">“Voices off. Track the speaker.”</w:t>
      </w:r>
    </w:p>
    <w:p>
      <w:pPr>
        <w:pStyle w:val="FirstParagraph"/>
      </w:pPr>
      <w:r>
        <w:rPr>
          <w:b/>
          <w:bCs/>
        </w:rPr>
        <w:t xml:space="preserve">Safety line</w:t>
      </w:r>
      <w:r>
        <w:t xml:space="preserve"> </w:t>
      </w:r>
      <w:r>
        <w:t xml:space="preserve">(if needed)</w:t>
      </w:r>
    </w:p>
    <w:p>
      <w:pPr>
        <w:pStyle w:val="BlockText"/>
      </w:pPr>
      <w:r>
        <w:t xml:space="preserve">“We’re pausing. Step outside the door; I’ll join you in 30 seconds.”</w:t>
      </w:r>
    </w:p>
    <w:bookmarkEnd w:id="13"/>
    <w:bookmarkStart w:id="14" w:name="X9457eaac4fdb86be5bc0feaa338c31d4a94d02b"/>
    <w:p>
      <w:pPr>
        <w:pStyle w:val="Heading2"/>
      </w:pPr>
      <w:r>
        <w:t xml:space="preserve">5) Corrective routine (2–4 min) instead of confrontation</w:t>
      </w:r>
    </w:p>
    <w:p>
      <w:pPr>
        <w:pStyle w:val="Compact"/>
        <w:numPr>
          <w:ilvl w:val="0"/>
          <w:numId w:val="1005"/>
        </w:numPr>
      </w:pPr>
      <w:r>
        <w:t xml:space="preserve">Name the routine: “Reset: track, tools out, voices off.”</w:t>
      </w:r>
    </w:p>
    <w:p>
      <w:pPr>
        <w:pStyle w:val="Compact"/>
        <w:numPr>
          <w:ilvl w:val="0"/>
          <w:numId w:val="1005"/>
        </w:numPr>
      </w:pPr>
      <w:r>
        <w:t xml:space="preserve">Micro-rehearse (10–15 seconds).</w:t>
      </w:r>
    </w:p>
    <w:p>
      <w:pPr>
        <w:pStyle w:val="Compact"/>
        <w:numPr>
          <w:ilvl w:val="0"/>
          <w:numId w:val="1005"/>
        </w:numPr>
      </w:pPr>
      <w:r>
        <w:t xml:space="preserve">Re-start instruction immediately.</w:t>
      </w:r>
    </w:p>
    <w:bookmarkEnd w:id="14"/>
    <w:bookmarkStart w:id="15" w:name="Xa620267efc2363aaca2c0842b28d0715de876da"/>
    <w:p>
      <w:pPr>
        <w:pStyle w:val="Heading2"/>
      </w:pPr>
      <w:r>
        <w:t xml:space="preserve">6) Track just enough data (1 page)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Start-of-lesson on-time %</w:t>
      </w:r>
      <w:r>
        <w:t xml:space="preserve"> </w:t>
      </w:r>
      <w:r>
        <w:t xml:space="preserve">(weekly trend)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Redirects</w:t>
      </w:r>
      <w:r>
        <w:t xml:space="preserve"> </w:t>
      </w:r>
      <w:r>
        <w:t xml:space="preserve">(✔ for non-verbal, V for verbal)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Follow-ups</w:t>
      </w:r>
      <w:r>
        <w:t xml:space="preserve"> </w:t>
      </w:r>
      <w:r>
        <w:t xml:space="preserve">(1–2 names + actions)</w:t>
      </w:r>
    </w:p>
    <w:bookmarkEnd w:id="15"/>
    <w:bookmarkStart w:id="16" w:name="X71bdd91628046477df3e0ef3f61f31e236cf5f3"/>
    <w:p>
      <w:pPr>
        <w:pStyle w:val="Heading2"/>
      </w:pPr>
      <w:r>
        <w:t xml:space="preserve">7) Family communication (ready-to-send mini-notes)</w:t>
      </w:r>
    </w:p>
    <w:p>
      <w:pPr>
        <w:pStyle w:val="FirstParagraph"/>
      </w:pPr>
      <w:r>
        <w:rPr>
          <w:b/>
          <w:bCs/>
        </w:rPr>
        <w:t xml:space="preserve">Positive:</w:t>
      </w:r>
    </w:p>
    <w:p>
      <w:pPr>
        <w:pStyle w:val="BlockText"/>
      </w:pPr>
      <w:r>
        <w:t xml:space="preserve">“Quick update—X led the group discussion today with thoughtful points. Great progress in speaking with confidence.”</w:t>
      </w:r>
    </w:p>
    <w:p>
      <w:pPr>
        <w:pStyle w:val="FirstParagraph"/>
      </w:pPr>
      <w:r>
        <w:rPr>
          <w:b/>
          <w:bCs/>
        </w:rPr>
        <w:t xml:space="preserve">Concern (neutral):</w:t>
      </w:r>
    </w:p>
    <w:p>
      <w:pPr>
        <w:pStyle w:val="BlockText"/>
      </w:pPr>
      <w:r>
        <w:t xml:space="preserve">“X missed today’s starter and needed two reminders to begin. Can you ask them to look for the Do Now immediately next lesson?”</w:t>
      </w:r>
    </w:p>
    <w:p>
      <w:pPr>
        <w:pStyle w:val="FirstParagraph"/>
      </w:pPr>
      <w:r>
        <w:t xml:space="preserve">—</w:t>
      </w:r>
      <w:r>
        <w:br/>
      </w:r>
      <w:r>
        <w:rPr>
          <w:i/>
          <w:iCs/>
        </w:rPr>
        <w:t xml:space="preserve">Zaza Draft quick win:</w:t>
      </w:r>
      <w:r>
        <w:t xml:space="preserve"> </w:t>
      </w:r>
      <w:r>
        <w:t xml:space="preserve">paste your class routines here → generate reminder slides &amp; cue cards in one click.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2025-10-20T15:41:00Z</dcterms:created>
  <dcterms:modified xsi:type="dcterms:W3CDTF">2025-10-20T15:41:00Z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