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Xf429766dceddd2c2ac252e2b4a17ed6ebca09cd"/>
    <w:p>
      <w:pPr>
        <w:pStyle w:val="Heading1"/>
      </w:pPr>
      <w:r>
        <w:t xml:space="preserve">The Reset Routine: A Proactive Classroom Management Guide</w:t>
      </w:r>
    </w:p>
    <w:p>
      <w:pPr>
        <w:pStyle w:val="BlockText"/>
      </w:pPr>
      <w:r>
        <w:t xml:space="preserve">Calm, consistent routines that protect learning time.</w:t>
      </w:r>
    </w:p>
    <w:p>
      <w:r>
        <w:pict>
          <v:rect style="width:0;height:1.5pt" o:hralign="center" o:hrstd="t" o:hr="t"/>
        </w:pict>
      </w:r>
    </w:p>
    <w:bookmarkStart w:id="9" w:name="first-5-minutes-script"/>
    <w:p>
      <w:pPr>
        <w:pStyle w:val="Heading2"/>
      </w:pPr>
      <w:r>
        <w:t xml:space="preserve">First 5 Minutes (script)</w:t>
      </w:r>
    </w:p>
    <w:p>
      <w:pPr>
        <w:pStyle w:val="Compact"/>
        <w:numPr>
          <w:ilvl w:val="0"/>
          <w:numId w:val="1001"/>
        </w:numPr>
      </w:pPr>
      <w:r>
        <w:t xml:space="preserve">Greet at door, quick scan.</w:t>
      </w:r>
    </w:p>
    <w:p>
      <w:pPr>
        <w:pStyle w:val="Compact"/>
        <w:numPr>
          <w:ilvl w:val="0"/>
          <w:numId w:val="1001"/>
        </w:numPr>
      </w:pPr>
      <w:r>
        <w:t xml:space="preserve">Do Now visible and simple.</w:t>
      </w:r>
    </w:p>
    <w:p>
      <w:pPr>
        <w:pStyle w:val="Compact"/>
        <w:numPr>
          <w:ilvl w:val="0"/>
          <w:numId w:val="1001"/>
        </w:numPr>
      </w:pPr>
      <w:r>
        <w:t xml:space="preserve">Timer visible; materials ready.</w:t>
      </w:r>
    </w:p>
    <w:p>
      <w:pPr>
        <w:pStyle w:val="Compact"/>
        <w:numPr>
          <w:ilvl w:val="0"/>
          <w:numId w:val="1001"/>
        </w:numPr>
      </w:pPr>
      <w:r>
        <w:t xml:space="preserve">Attendance during Do Now.</w:t>
      </w:r>
    </w:p>
    <w:p>
      <w:pPr>
        <w:pStyle w:val="Compact"/>
        <w:numPr>
          <w:ilvl w:val="0"/>
          <w:numId w:val="1001"/>
        </w:numPr>
      </w:pPr>
      <w:r>
        <w:t xml:space="preserve">Transition cue to lesson.</w:t>
      </w:r>
    </w:p>
    <w:bookmarkEnd w:id="9"/>
    <w:bookmarkStart w:id="10" w:name="non-verbal-interventions"/>
    <w:p>
      <w:pPr>
        <w:pStyle w:val="Heading2"/>
      </w:pPr>
      <w:r>
        <w:t xml:space="preserve">Non-verbal Interventions</w:t>
      </w:r>
    </w:p>
    <w:p>
      <w:pPr>
        <w:pStyle w:val="Compact"/>
        <w:numPr>
          <w:ilvl w:val="0"/>
          <w:numId w:val="1002"/>
        </w:numPr>
      </w:pPr>
      <w:r>
        <w:t xml:space="preserve">Proximity, pause, name on the board, visual cue card.</w:t>
      </w:r>
    </w:p>
    <w:bookmarkEnd w:id="10"/>
    <w:bookmarkStart w:id="11" w:name="co-creating-expectations"/>
    <w:p>
      <w:pPr>
        <w:pStyle w:val="Heading2"/>
      </w:pPr>
      <w:r>
        <w:t xml:space="preserve">Co-creating Expectations</w:t>
      </w:r>
    </w:p>
    <w:p>
      <w:pPr>
        <w:pStyle w:val="Compact"/>
        <w:numPr>
          <w:ilvl w:val="0"/>
          <w:numId w:val="1003"/>
        </w:numPr>
      </w:pPr>
      <w:r>
        <w:t xml:space="preserve">3–5 positive, observable rules; student examples of what it looks like/sounds like.</w:t>
      </w:r>
    </w:p>
    <w:bookmarkEnd w:id="11"/>
    <w:bookmarkStart w:id="12" w:name="scripts-for-difficult-moments"/>
    <w:p>
      <w:pPr>
        <w:pStyle w:val="Heading2"/>
      </w:pPr>
      <w:r>
        <w:t xml:space="preserve">Scripts for Difficult Moments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Defiance:</w:t>
      </w:r>
      <w:r>
        <w:t xml:space="preserve"> </w:t>
      </w:r>
      <w:r>
        <w:t xml:space="preserve">“I hear you. We’ll talk after [time]. For now, the direction is [X].”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Disengagement:</w:t>
      </w:r>
      <w:r>
        <w:t xml:space="preserve"> </w:t>
      </w:r>
      <w:r>
        <w:t xml:space="preserve">“Let’s start together on the first step—then you try step two.”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2025-10-19T22:34:17Z</dcterms:created>
  <dcterms:modified xsi:type="dcterms:W3CDTF">2025-10-19T22:34:17Z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