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65585" w14:textId="77777777" w:rsidR="00EB5CBC" w:rsidRDefault="00000000">
      <w:pPr>
        <w:spacing w:after="240" w:line="360" w:lineRule="auto"/>
        <w:jc w:val="center"/>
      </w:pPr>
      <w:r>
        <w:rPr>
          <w:b/>
          <w:sz w:val="28"/>
        </w:rPr>
        <w:t>Delayed umbilical cord clamping and postpartum maternal outcomes: a calendar-time-adjusted observational cohort study</w:t>
      </w:r>
    </w:p>
    <w:p w14:paraId="5FAB92C0" w14:textId="77777777" w:rsidR="00EB5CBC" w:rsidRDefault="00000000">
      <w:pPr>
        <w:spacing w:after="480" w:line="240" w:lineRule="auto"/>
        <w:jc w:val="center"/>
      </w:pPr>
      <w:r>
        <w:rPr>
          <w:i/>
        </w:rPr>
        <w:t>Article type: Original Research</w:t>
      </w:r>
    </w:p>
    <w:p w14:paraId="10F6EBAA" w14:textId="77777777" w:rsidR="004063F6" w:rsidRPr="00D917BD" w:rsidRDefault="004063F6" w:rsidP="004063F6">
      <w:pPr>
        <w:spacing w:after="80" w:line="360" w:lineRule="auto"/>
      </w:pPr>
      <w:r w:rsidRPr="00D917BD">
        <w:rPr>
          <w:b/>
        </w:rPr>
        <w:t>Short running title</w:t>
      </w:r>
    </w:p>
    <w:p w14:paraId="6BBB9646" w14:textId="77777777" w:rsidR="004063F6" w:rsidRPr="00D917BD" w:rsidRDefault="004063F6" w:rsidP="004063F6">
      <w:pPr>
        <w:spacing w:after="240" w:line="360" w:lineRule="auto"/>
      </w:pPr>
      <w:r w:rsidRPr="00D917BD">
        <w:t>Cord clamping and maternal outcomes</w:t>
      </w:r>
    </w:p>
    <w:p w14:paraId="3E264A78" w14:textId="39D06BA1" w:rsidR="004063F6" w:rsidRPr="00D917BD" w:rsidRDefault="004063F6" w:rsidP="004063F6">
      <w:pPr>
        <w:spacing w:after="80" w:line="360" w:lineRule="auto"/>
      </w:pPr>
      <w:r w:rsidRPr="00D917BD">
        <w:rPr>
          <w:b/>
        </w:rPr>
        <w:t>Authors</w:t>
      </w:r>
    </w:p>
    <w:p w14:paraId="5E03A29A" w14:textId="77777777" w:rsidR="004063F6" w:rsidRPr="00D917BD" w:rsidRDefault="004063F6" w:rsidP="004063F6">
      <w:pPr>
        <w:spacing w:after="120" w:line="360" w:lineRule="auto"/>
      </w:pPr>
      <w:r w:rsidRPr="00D917BD">
        <w:t>Gülşah Aynaoğlu Yıldız, MD</w:t>
      </w:r>
      <w:r w:rsidRPr="00D917BD">
        <w:rPr>
          <w:vertAlign w:val="superscript"/>
        </w:rPr>
        <w:t>1</w:t>
      </w:r>
      <w:r w:rsidRPr="00D917BD">
        <w:t>; Goksu Goc, MD</w:t>
      </w:r>
      <w:r w:rsidRPr="00D917BD">
        <w:rPr>
          <w:vertAlign w:val="superscript"/>
        </w:rPr>
        <w:t>2,*</w:t>
      </w:r>
      <w:r w:rsidRPr="00D917BD">
        <w:t>; Hasan Süt, MD</w:t>
      </w:r>
      <w:r w:rsidRPr="00D917BD">
        <w:rPr>
          <w:vertAlign w:val="superscript"/>
        </w:rPr>
        <w:t>1</w:t>
      </w:r>
      <w:r w:rsidRPr="00D917BD">
        <w:t>; Batuhan Turgay, MD</w:t>
      </w:r>
      <w:r w:rsidRPr="00D917BD">
        <w:rPr>
          <w:vertAlign w:val="superscript"/>
        </w:rPr>
        <w:t>1</w:t>
      </w:r>
      <w:r w:rsidRPr="00D917BD">
        <w:t>; Bircan Yıldırım Baydemir, MD</w:t>
      </w:r>
      <w:r w:rsidRPr="00D917BD">
        <w:rPr>
          <w:vertAlign w:val="superscript"/>
        </w:rPr>
        <w:t>1</w:t>
      </w:r>
      <w:r w:rsidRPr="00D917BD">
        <w:t>; Engin Öztürk, MD</w:t>
      </w:r>
      <w:r w:rsidRPr="00D917BD">
        <w:rPr>
          <w:vertAlign w:val="superscript"/>
        </w:rPr>
        <w:t>1</w:t>
      </w:r>
      <w:r w:rsidRPr="00D917BD">
        <w:t>; Cem Somer Atabekoğlu, MD</w:t>
      </w:r>
      <w:r w:rsidRPr="00D917BD">
        <w:rPr>
          <w:vertAlign w:val="superscript"/>
        </w:rPr>
        <w:t>1</w:t>
      </w:r>
    </w:p>
    <w:p w14:paraId="58845CE9" w14:textId="77777777" w:rsidR="004063F6" w:rsidRPr="00D917BD" w:rsidRDefault="004063F6" w:rsidP="004063F6">
      <w:pPr>
        <w:spacing w:after="80" w:line="360" w:lineRule="auto"/>
      </w:pPr>
      <w:r w:rsidRPr="00D917BD">
        <w:rPr>
          <w:b/>
        </w:rPr>
        <w:t>Affiliations</w:t>
      </w:r>
    </w:p>
    <w:p w14:paraId="68ED3846" w14:textId="77777777" w:rsidR="004063F6" w:rsidRPr="00D917BD" w:rsidRDefault="004063F6" w:rsidP="004063F6">
      <w:pPr>
        <w:spacing w:after="80" w:line="360" w:lineRule="auto"/>
      </w:pPr>
      <w:r w:rsidRPr="00D917BD">
        <w:rPr>
          <w:vertAlign w:val="superscript"/>
        </w:rPr>
        <w:t>¹</w:t>
      </w:r>
      <w:r w:rsidRPr="00D917BD">
        <w:t xml:space="preserve"> Department of Obstetrics and Gynecology, Ankara University School of Medicine, Ankara, Turkey</w:t>
      </w:r>
    </w:p>
    <w:p w14:paraId="6F94C944" w14:textId="77777777" w:rsidR="004063F6" w:rsidRPr="00D917BD" w:rsidRDefault="004063F6" w:rsidP="004063F6">
      <w:pPr>
        <w:spacing w:after="240" w:line="360" w:lineRule="auto"/>
      </w:pPr>
      <w:r w:rsidRPr="00D917BD">
        <w:rPr>
          <w:vertAlign w:val="superscript"/>
        </w:rPr>
        <w:t>²</w:t>
      </w:r>
      <w:r w:rsidRPr="00D917BD">
        <w:t xml:space="preserve"> Department of Obstetrics and Gynecology, American Hospital 2, Prishtine, Kosovo</w:t>
      </w:r>
    </w:p>
    <w:p w14:paraId="39FA2EDD" w14:textId="77777777" w:rsidR="004063F6" w:rsidRPr="00D917BD" w:rsidRDefault="004063F6" w:rsidP="004063F6">
      <w:pPr>
        <w:spacing w:after="80" w:line="360" w:lineRule="auto"/>
      </w:pPr>
      <w:r w:rsidRPr="00D917BD">
        <w:rPr>
          <w:b/>
        </w:rPr>
        <w:t>*Corresponding author</w:t>
      </w:r>
    </w:p>
    <w:p w14:paraId="4DE4A32F" w14:textId="77777777" w:rsidR="004063F6" w:rsidRPr="00D917BD" w:rsidRDefault="004063F6" w:rsidP="004063F6">
      <w:pPr>
        <w:spacing w:after="40" w:line="240" w:lineRule="auto"/>
      </w:pPr>
      <w:r w:rsidRPr="00D917BD">
        <w:rPr>
          <w:b/>
        </w:rPr>
        <w:t>Goksu Goc, MD</w:t>
      </w:r>
    </w:p>
    <w:p w14:paraId="5755262D" w14:textId="77777777" w:rsidR="004063F6" w:rsidRPr="00D917BD" w:rsidRDefault="004063F6" w:rsidP="004063F6">
      <w:pPr>
        <w:spacing w:after="40" w:line="240" w:lineRule="auto"/>
      </w:pPr>
      <w:r w:rsidRPr="00D917BD">
        <w:t>Department of Obstetrics and Gynecology</w:t>
      </w:r>
    </w:p>
    <w:p w14:paraId="78A67FF5" w14:textId="77777777" w:rsidR="004063F6" w:rsidRPr="00D917BD" w:rsidRDefault="004063F6" w:rsidP="004063F6">
      <w:pPr>
        <w:spacing w:after="40" w:line="240" w:lineRule="auto"/>
      </w:pPr>
      <w:r w:rsidRPr="00D917BD">
        <w:t>American Hospital 2</w:t>
      </w:r>
    </w:p>
    <w:p w14:paraId="2687E4A0" w14:textId="77777777" w:rsidR="004063F6" w:rsidRPr="00D917BD" w:rsidRDefault="004063F6" w:rsidP="004063F6">
      <w:pPr>
        <w:spacing w:after="40" w:line="240" w:lineRule="auto"/>
      </w:pPr>
      <w:r w:rsidRPr="00D917BD">
        <w:t>St. Shkupi, No. 25, 10000 Prishtine, Kosovo</w:t>
      </w:r>
    </w:p>
    <w:p w14:paraId="465A8319" w14:textId="77777777" w:rsidR="004063F6" w:rsidRPr="004063F6" w:rsidRDefault="004063F6" w:rsidP="004063F6">
      <w:pPr>
        <w:spacing w:after="40" w:line="240" w:lineRule="auto"/>
        <w:rPr>
          <w:lang w:val="fr-FR"/>
        </w:rPr>
      </w:pPr>
      <w:r w:rsidRPr="004063F6">
        <w:rPr>
          <w:lang w:val="fr-FR"/>
        </w:rPr>
        <w:t>Email: goksu.goc@gmail.com</w:t>
      </w:r>
    </w:p>
    <w:p w14:paraId="19644009" w14:textId="77777777" w:rsidR="004063F6" w:rsidRPr="004063F6" w:rsidRDefault="004063F6" w:rsidP="004063F6">
      <w:pPr>
        <w:spacing w:after="40" w:line="240" w:lineRule="auto"/>
        <w:rPr>
          <w:lang w:val="fr-FR"/>
        </w:rPr>
      </w:pPr>
      <w:r w:rsidRPr="004063F6">
        <w:rPr>
          <w:lang w:val="fr-FR"/>
        </w:rPr>
        <w:t>Telephone: +383 49 878 550</w:t>
      </w:r>
    </w:p>
    <w:p w14:paraId="67993B1C" w14:textId="77777777" w:rsidR="004063F6" w:rsidRDefault="004063F6" w:rsidP="004063F6">
      <w:pPr>
        <w:spacing w:after="80" w:line="360" w:lineRule="auto"/>
        <w:rPr>
          <w:b/>
        </w:rPr>
      </w:pPr>
      <w:r w:rsidRPr="00D917BD">
        <w:t>ORCID: 0009-0003-1506-6061</w:t>
      </w:r>
      <w:r w:rsidRPr="004063F6">
        <w:rPr>
          <w:b/>
        </w:rPr>
        <w:t xml:space="preserve"> </w:t>
      </w:r>
    </w:p>
    <w:p w14:paraId="4EB47E87" w14:textId="77777777" w:rsidR="004063F6" w:rsidRPr="00D917BD" w:rsidRDefault="004063F6" w:rsidP="004063F6">
      <w:pPr>
        <w:spacing w:before="160" w:after="80" w:line="360" w:lineRule="auto"/>
      </w:pPr>
      <w:r w:rsidRPr="00D917BD">
        <w:rPr>
          <w:b/>
        </w:rPr>
        <w:t>ORCID iDs</w:t>
      </w:r>
    </w:p>
    <w:p w14:paraId="7D66D7CE" w14:textId="77777777" w:rsidR="004063F6" w:rsidRPr="00D917BD" w:rsidRDefault="004063F6" w:rsidP="004063F6">
      <w:pPr>
        <w:spacing w:after="40" w:line="240" w:lineRule="auto"/>
      </w:pPr>
      <w:r w:rsidRPr="00D917BD">
        <w:t>Gülşah Aynaoğlu Yıldız — 0000-0002-3283-7783</w:t>
      </w:r>
    </w:p>
    <w:p w14:paraId="6D720713" w14:textId="77777777" w:rsidR="004063F6" w:rsidRPr="00D917BD" w:rsidRDefault="004063F6" w:rsidP="004063F6">
      <w:pPr>
        <w:spacing w:after="40" w:line="240" w:lineRule="auto"/>
      </w:pPr>
      <w:r w:rsidRPr="00D917BD">
        <w:t>Goksu Goc — 0009-0003-1506-6061</w:t>
      </w:r>
    </w:p>
    <w:p w14:paraId="4A864CE0" w14:textId="77777777" w:rsidR="004063F6" w:rsidRPr="00D917BD" w:rsidRDefault="004063F6" w:rsidP="004063F6">
      <w:pPr>
        <w:spacing w:after="40" w:line="240" w:lineRule="auto"/>
      </w:pPr>
      <w:r w:rsidRPr="00D917BD">
        <w:t>Hasan Süt — 0000-0003-0982-3356</w:t>
      </w:r>
    </w:p>
    <w:p w14:paraId="1D4019A6" w14:textId="77777777" w:rsidR="004063F6" w:rsidRPr="00D917BD" w:rsidRDefault="004063F6" w:rsidP="004063F6">
      <w:pPr>
        <w:spacing w:after="40" w:line="240" w:lineRule="auto"/>
      </w:pPr>
      <w:r w:rsidRPr="00D917BD">
        <w:t>Batuhan Turgay — 0000-0001-9927-181X</w:t>
      </w:r>
    </w:p>
    <w:p w14:paraId="3F24BAD7" w14:textId="77777777" w:rsidR="004063F6" w:rsidRPr="00D917BD" w:rsidRDefault="004063F6" w:rsidP="004063F6">
      <w:pPr>
        <w:spacing w:after="40" w:line="240" w:lineRule="auto"/>
      </w:pPr>
      <w:r w:rsidRPr="00D917BD">
        <w:t>Bircan Yıldırım Baydemir — 0000-0002-6950-7614</w:t>
      </w:r>
    </w:p>
    <w:p w14:paraId="7F209328" w14:textId="77777777" w:rsidR="004063F6" w:rsidRPr="00D917BD" w:rsidRDefault="004063F6" w:rsidP="004063F6">
      <w:pPr>
        <w:spacing w:after="40" w:line="240" w:lineRule="auto"/>
      </w:pPr>
      <w:r w:rsidRPr="00D917BD">
        <w:t>Engin Öztürk — 0000-0002-6159-2009</w:t>
      </w:r>
    </w:p>
    <w:p w14:paraId="1FBA698F" w14:textId="77777777" w:rsidR="004063F6" w:rsidRPr="00D917BD" w:rsidRDefault="004063F6" w:rsidP="004063F6">
      <w:pPr>
        <w:spacing w:after="240" w:line="240" w:lineRule="auto"/>
      </w:pPr>
      <w:r w:rsidRPr="00D917BD">
        <w:t>Cem Somer Atabekoğlu — 0000-0003-0264-0709</w:t>
      </w:r>
    </w:p>
    <w:p w14:paraId="35F9469A" w14:textId="4D704886" w:rsidR="004063F6" w:rsidRPr="00D917BD" w:rsidRDefault="004063F6" w:rsidP="004063F6">
      <w:pPr>
        <w:spacing w:after="240" w:line="240" w:lineRule="auto"/>
      </w:pPr>
    </w:p>
    <w:p w14:paraId="371657AA" w14:textId="77777777" w:rsidR="004063F6" w:rsidRPr="00D917BD" w:rsidRDefault="004063F6" w:rsidP="004063F6">
      <w:pPr>
        <w:spacing w:after="80" w:line="360" w:lineRule="auto"/>
      </w:pPr>
      <w:r w:rsidRPr="00D917BD">
        <w:rPr>
          <w:b/>
        </w:rPr>
        <w:lastRenderedPageBreak/>
        <w:t>Word counts and content</w:t>
      </w:r>
    </w:p>
    <w:p w14:paraId="04517450" w14:textId="6F2DE6CD" w:rsidR="004063F6" w:rsidRPr="004063F6" w:rsidRDefault="004063F6" w:rsidP="004063F6">
      <w:pPr>
        <w:spacing w:before="280" w:after="160" w:line="360" w:lineRule="auto"/>
        <w:rPr>
          <w:bCs/>
          <w:sz w:val="28"/>
        </w:rPr>
      </w:pPr>
      <w:r w:rsidRPr="00D917BD">
        <w:t>Abstract: 229 words (structured); Key Message: 36 words; Synopsis: 20 words; Main text: 2,445 words (Introduction 327; Material and methods 850; Results 564; Discussion 704); References: 18; Tables: 3 main; Figures: 5 main; Supplementary tables: 4; Supplementary figures: 4; Graphical Abstract supplied as separate image</w:t>
      </w:r>
    </w:p>
    <w:p w14:paraId="5429BBDF" w14:textId="4AE312B5" w:rsidR="00EB5CBC" w:rsidRDefault="00000000">
      <w:pPr>
        <w:spacing w:before="280" w:after="160" w:line="360" w:lineRule="auto"/>
      </w:pPr>
      <w:r>
        <w:rPr>
          <w:b/>
          <w:sz w:val="28"/>
        </w:rPr>
        <w:t>Abstract</w:t>
      </w:r>
    </w:p>
    <w:p w14:paraId="601937F8" w14:textId="77777777" w:rsidR="00EB5CBC" w:rsidRDefault="00000000">
      <w:pPr>
        <w:spacing w:after="120" w:line="360" w:lineRule="auto"/>
        <w:jc w:val="both"/>
      </w:pPr>
      <w:r>
        <w:rPr>
          <w:b/>
        </w:rPr>
        <w:t xml:space="preserve">Introduction. </w:t>
      </w:r>
      <w:r>
        <w:t>Delayed umbilical cord clamping (DCC) is recommended for neonatal benefit, but maternal safety concerns regarding postpartum anaemia, postpartum haemorrhage (PPH) and transfusion persist. Because DCC is adopted progressively, calendar time is a central source of confounding in observational evaluations.</w:t>
      </w:r>
    </w:p>
    <w:p w14:paraId="42851CC1" w14:textId="77777777" w:rsidR="00EB5CBC" w:rsidRDefault="00000000">
      <w:pPr>
        <w:spacing w:after="120" w:line="360" w:lineRule="auto"/>
        <w:jc w:val="both"/>
      </w:pPr>
      <w:r>
        <w:rPr>
          <w:b/>
        </w:rPr>
        <w:t xml:space="preserve">Material and methods. </w:t>
      </w:r>
      <w:r>
        <w:t>Single-centre retrospective cohort of 4,644 consecutive deliveries at ≥22 weeks’ gestation (June 2022–December 2024); 4,631 had valid delivery dates for calendar-adjusted analysis. Exposure was guideline-concordant DCC ≥60 s versus immediate or 30-second clamping. Primary outcome: postpartum anaemia (haemoglobin &lt;10 g/dL at 6 hours). Calendar time was modelled as a natural cubic spline. Four complementary methods were applied: covariate-adjusted modified Poisson regression, stabilised inverse-probability-of-treatment weighting (IPTW), overlap weighting and 1:1 propensity-score matching. Sensitivity analyses included Firth-penalised regression for the sparse transfusion outcome and E-values.</w:t>
      </w:r>
    </w:p>
    <w:p w14:paraId="07ACF507" w14:textId="77777777" w:rsidR="00EB5CBC" w:rsidRDefault="00000000">
      <w:pPr>
        <w:spacing w:after="120" w:line="360" w:lineRule="auto"/>
        <w:jc w:val="both"/>
      </w:pPr>
      <w:r>
        <w:rPr>
          <w:b/>
        </w:rPr>
        <w:t xml:space="preserve">Results. </w:t>
      </w:r>
      <w:r>
        <w:t>Among 4,631 deliveries, 1,888 (40.8%) received DCC. DCC was not associated with postpartum anaemia (IPTW risk ratio [RR] 1.01, 95% confidence interval [CI] 0.88–1.16; covariate-adjusted RR 1.02, 0.92–1.13; overlap RR 0.99, 0.87–1.13; matched RR 0.88, 0.76–1.01), with PPH (IPTW RR 1.11, 0.77–1.59), Hb drop ≥2 g/dL (RR 0.97, 0.80–1.17; distribution shown in Supplementary Figure S3) or transfusion (RR 0.74, 0.24–2.26). Estimates diverged by mode of delivery (interaction p = 0.005): vaginal RR 1.20 (1.00–1.44); caesarean RR 0.92 (0.81–1.04).</w:t>
      </w:r>
    </w:p>
    <w:p w14:paraId="1140CA03" w14:textId="77777777" w:rsidR="00EB5CBC" w:rsidRDefault="00000000">
      <w:pPr>
        <w:spacing w:after="120" w:line="360" w:lineRule="auto"/>
        <w:jc w:val="both"/>
      </w:pPr>
      <w:r>
        <w:rPr>
          <w:b/>
        </w:rPr>
        <w:t xml:space="preserve">Conclusions. </w:t>
      </w:r>
      <w:r>
        <w:t>After calendar-time-adjusted multimethod analysis, DCC ≥60 s was not associated with worse maternal haematological outcomes overall. The delivery-mode divergence for postpartum anaemia is hypothesis-generating and warrants prospective evaluation.</w:t>
      </w:r>
    </w:p>
    <w:p w14:paraId="7D929EF7" w14:textId="77777777" w:rsidR="00EB5CBC" w:rsidRDefault="00000000">
      <w:pPr>
        <w:spacing w:before="280" w:after="160" w:line="360" w:lineRule="auto"/>
      </w:pPr>
      <w:r>
        <w:rPr>
          <w:b/>
        </w:rPr>
        <w:lastRenderedPageBreak/>
        <w:t>Key Message</w:t>
      </w:r>
    </w:p>
    <w:p w14:paraId="7CE96DAD" w14:textId="77777777" w:rsidR="00EB5CBC" w:rsidRDefault="00000000">
      <w:pPr>
        <w:spacing w:after="120" w:line="360" w:lineRule="auto"/>
        <w:jc w:val="both"/>
      </w:pPr>
      <w:r>
        <w:t>In a calendar-time-adjusted observational cohort, delayed cord clamping ≥60 seconds was not associated with worse maternal haematological outcomes overall; an exploratory delivery-mode interaction for postpartum anaemia warrants prospective evaluation before any change in practice.</w:t>
      </w:r>
    </w:p>
    <w:p w14:paraId="2221811B" w14:textId="77777777" w:rsidR="00EB5CBC" w:rsidRDefault="00000000">
      <w:pPr>
        <w:spacing w:before="280" w:after="160" w:line="360" w:lineRule="auto"/>
      </w:pPr>
      <w:r>
        <w:rPr>
          <w:b/>
        </w:rPr>
        <w:t>Synopsis</w:t>
      </w:r>
    </w:p>
    <w:p w14:paraId="7A62BB00" w14:textId="77777777" w:rsidR="00EB5CBC" w:rsidRDefault="00000000">
      <w:pPr>
        <w:spacing w:after="120" w:line="360" w:lineRule="auto"/>
        <w:jc w:val="both"/>
      </w:pPr>
      <w:r>
        <w:t>Calendar-time-adjusted, propensity-weighted multimethod analysis of 4,631 deliveries (≥22 weeks’ gestation) finds no overall maternal harm from delayed cord clamping.</w:t>
      </w:r>
    </w:p>
    <w:p w14:paraId="38ACF92B" w14:textId="77777777" w:rsidR="00EB5CBC" w:rsidRDefault="00000000">
      <w:pPr>
        <w:spacing w:before="280" w:after="160" w:line="360" w:lineRule="auto"/>
      </w:pPr>
      <w:r>
        <w:rPr>
          <w:b/>
        </w:rPr>
        <w:t>Keywords</w:t>
      </w:r>
    </w:p>
    <w:p w14:paraId="5EDFBE5C" w14:textId="77777777" w:rsidR="00EB5CBC" w:rsidRDefault="00000000">
      <w:pPr>
        <w:spacing w:after="120" w:line="360" w:lineRule="auto"/>
        <w:jc w:val="both"/>
      </w:pPr>
      <w:r>
        <w:t>Delayed cord clamping; postpartum anaemia; postpartum haemorrhage; propensity score; inverse probability weighting; maternal outcomes; observational cohort study.</w:t>
      </w:r>
    </w:p>
    <w:p w14:paraId="4896C429" w14:textId="77777777" w:rsidR="00EB5CBC" w:rsidRDefault="00000000">
      <w:pPr>
        <w:spacing w:before="280" w:after="160" w:line="360" w:lineRule="auto"/>
      </w:pPr>
      <w:r>
        <w:rPr>
          <w:b/>
        </w:rPr>
        <w:t>Abbreviations</w:t>
      </w:r>
    </w:p>
    <w:p w14:paraId="5AF03295" w14:textId="77777777" w:rsidR="00EB5CBC" w:rsidRDefault="00000000">
      <w:pPr>
        <w:spacing w:after="240" w:line="360" w:lineRule="auto"/>
        <w:jc w:val="both"/>
      </w:pPr>
      <w:r>
        <w:t>ACOG, American College of Obstetricians and Gynecologists; CI, confidence interval; DCC, delayed cord clamping; ECC, early cord clamping; Hb, haemoglobin; ICMJE, International Committee of Medical Journal Editors; IPTW, inverse probability of treatment weighting; PPH, postpartum haemorrhage; PS, propensity score; RR, risk ratio; SD, standard deviation; SMD, standardised mean difference; STROBE, Strengthening the Reporting of Observational Studies in Epidemiology; WHO, World Health Organization.</w:t>
      </w:r>
    </w:p>
    <w:p w14:paraId="4BD1683A" w14:textId="77777777" w:rsidR="00EB5CBC" w:rsidRDefault="00000000">
      <w:pPr>
        <w:spacing w:before="280" w:after="160" w:line="360" w:lineRule="auto"/>
      </w:pPr>
      <w:r>
        <w:rPr>
          <w:b/>
          <w:sz w:val="28"/>
        </w:rPr>
        <w:t>1 | INTRODUCTION</w:t>
      </w:r>
    </w:p>
    <w:p w14:paraId="3B985AB4" w14:textId="77777777" w:rsidR="00EB5CBC" w:rsidRDefault="00000000">
      <w:pPr>
        <w:spacing w:after="160" w:line="480" w:lineRule="auto"/>
        <w:jc w:val="both"/>
      </w:pPr>
      <w:r>
        <w:t xml:space="preserve">Postpartum haemorrhage remains a leading direct cause of preventable maternal morbidity and mortality, and antenatal anaemia is one of its most important modifiable risk factors.¹,² Delayed umbilical cord clamping (DCC), commonly defined as clamping at or after 60 seconds following birth, improves neonatal circulatory transition and iron endowment and is now embedded in major contemporary obstetric guidance and evidence syntheses.³⁻⁵ The 2025 World Health Organization consolidated guidelines on prevention, diagnosis and treatment of postpartum </w:t>
      </w:r>
      <w:r>
        <w:lastRenderedPageBreak/>
        <w:t>haemorrhage further reinforce maternal anaemia as a central modifiable factor and call for implementation evidence on third-stage practices.²</w:t>
      </w:r>
    </w:p>
    <w:p w14:paraId="5EDC78DD" w14:textId="77777777" w:rsidR="00EB5CBC" w:rsidRDefault="00000000">
      <w:pPr>
        <w:spacing w:after="160" w:line="480" w:lineRule="auto"/>
        <w:jc w:val="both"/>
      </w:pPr>
      <w:r>
        <w:t>Despite robust neonatal benefit, concern persists that prolonged placental transfusion may delay uterine retraction or interact with the timing of uterotonic administration, thereby increasing the risk of postpartum anaemia, postpartum haemorrhage (PPH) or transfusion.³,⁶ The randomised evidence base for maternal outcomes is limited and heterogeneous: a foundational AOGS trial reported no excess maternal blood loss with DCC of three minutes,⁶ a JAMA randomised trial in term caesarean delivery similarly found no increase in maternal blood loss with DCC of 60 seconds,⁷ and a 2025 meta-analysis at caesarean delivery reported no increase in estimated blood loss, PPH, transfusion, uterotonic use or surgical time.⁸ Recent paired individual-participant-data meta-analyses⁹,¹⁰ have advanced understanding for preterm infants but did not focus on maternal endpoints. Implementation-era observational cohorts therefore remain valuable for triangulating maternal safety, but they introduce a methodological challenge that is rarely addressed transparently.</w:t>
      </w:r>
    </w:p>
    <w:p w14:paraId="4B15AF72" w14:textId="77777777" w:rsidR="00EB5CBC" w:rsidRDefault="00000000">
      <w:pPr>
        <w:spacing w:after="160" w:line="480" w:lineRule="auto"/>
        <w:jc w:val="both"/>
      </w:pPr>
      <w:r>
        <w:t>When DCC is implemented progressively, women who receive DCC may differ systematically from those who receive earlier clamping, and these differences can co-vary with secular changes in obstetric staffing, uterotonic protocols, awareness of haemorrhage and clinical documentation.¹¹,¹² Calendar-time confounding is therefore a central threat to inference. We aimed to estimate the association between guideline-concordant DCC (≥60 s) and early postpartum maternal haematological outcomes versus immediate or 30-second clamping in a single university centre, using four complementary regression and propensity-score approaches with explicit modelling of calendar time, and to examine whether estimates varied by delivery mode.</w:t>
      </w:r>
    </w:p>
    <w:p w14:paraId="19F8773E" w14:textId="77777777" w:rsidR="00EB5CBC" w:rsidRDefault="00000000">
      <w:pPr>
        <w:spacing w:before="280" w:after="160" w:line="360" w:lineRule="auto"/>
      </w:pPr>
      <w:r>
        <w:rPr>
          <w:b/>
          <w:sz w:val="28"/>
        </w:rPr>
        <w:lastRenderedPageBreak/>
        <w:t>2 | MATERIAL AND METHODS</w:t>
      </w:r>
    </w:p>
    <w:p w14:paraId="6C033C4B" w14:textId="77777777" w:rsidR="00EB5CBC" w:rsidRDefault="00000000">
      <w:pPr>
        <w:spacing w:before="280" w:after="160" w:line="360" w:lineRule="auto"/>
      </w:pPr>
      <w:r>
        <w:rPr>
          <w:b/>
        </w:rPr>
        <w:t>2.1 | Study design and population</w:t>
      </w:r>
    </w:p>
    <w:p w14:paraId="532D00FB" w14:textId="77777777" w:rsidR="00EB5CBC" w:rsidRDefault="00000000">
      <w:pPr>
        <w:spacing w:after="160" w:line="480" w:lineRule="auto"/>
        <w:jc w:val="both"/>
      </w:pPr>
      <w:r>
        <w:t>This was a single-centre retrospective cohort study of consecutive delivery episodes at a university obstetrics and gynaecology department between 6 June 2022 and 31 December 2024. The study is reported in accordance with the STROBE statement for cohort studies.¹³ Eligible records were deliveries at ≥22 weeks’ gestation, including singleton and multiple pregnancies. From an initial register of 5,073 delivery records, we excluded 7 triplet pregnancies, 354 deliveries with intrapartum fetal distress, 11 with major fetal anomalies, 30 with placental anomalies and 33 with maternal haematological disorders, leaving 4,644 episodes for analysis (some exclusions overlapped). Thirteen records had missing or invalid delivery dates and were excluded from calendar-adjusted models, leaving 4,631 episodes for the primary adjusted analysis. The flow of records is summarised in Figure 1. The exposure and 6-hour postpartum haemoglobin were complete; blood transfusion status was missing for two records.</w:t>
      </w:r>
    </w:p>
    <w:p w14:paraId="008B8138" w14:textId="77777777" w:rsidR="00EB5CBC" w:rsidRDefault="00000000">
      <w:pPr>
        <w:spacing w:before="280" w:after="160" w:line="360" w:lineRule="auto"/>
      </w:pPr>
      <w:r>
        <w:rPr>
          <w:b/>
        </w:rPr>
        <w:t>2.2 | Exposure</w:t>
      </w:r>
    </w:p>
    <w:p w14:paraId="02E8E144" w14:textId="77777777" w:rsidR="00EB5CBC" w:rsidRDefault="00000000">
      <w:pPr>
        <w:spacing w:after="160" w:line="480" w:lineRule="auto"/>
        <w:jc w:val="both"/>
      </w:pPr>
      <w:r>
        <w:t>The primary exposure was guideline-concordant DCC, defined as cord clamping at ≥60 seconds after delivery, compared with immediate or 30-second clamping. Recorded categories were 0 s, 30 s, 60 s and 120 s; these were used in dose–response sensitivity analyses. Cord-clamping timing was determined by the attending obstetrician according to local practice; routine documentation took place in the electronic delivery record.</w:t>
      </w:r>
    </w:p>
    <w:p w14:paraId="3B16AFB7" w14:textId="77777777" w:rsidR="00EB5CBC" w:rsidRDefault="00000000">
      <w:pPr>
        <w:spacing w:before="280" w:after="160" w:line="360" w:lineRule="auto"/>
      </w:pPr>
      <w:r>
        <w:rPr>
          <w:b/>
        </w:rPr>
        <w:t>2.3 | Outcomes</w:t>
      </w:r>
    </w:p>
    <w:p w14:paraId="705FE5CA" w14:textId="77777777" w:rsidR="00EB5CBC" w:rsidRDefault="00000000">
      <w:pPr>
        <w:spacing w:after="160" w:line="480" w:lineRule="auto"/>
        <w:jc w:val="both"/>
      </w:pPr>
      <w:r>
        <w:t xml:space="preserve">The primary outcome was postpartum anaemia, defined as venous haemoglobin &lt;10 g/dL at the 6-hour postpartum measurement. Secondary outcomes were: postpartum anaemia at the &lt;11 g/dL </w:t>
      </w:r>
      <w:r>
        <w:lastRenderedPageBreak/>
        <w:t>threshold; haemoglobin drop ≥2 g/dL from pre-delivery to 6 hours postpartum; clinically recorded PPH; blood transfusion during delivery admission; continuous 6-hour postpartum haemoglobin; and continuous haemoglobin drop. PPH was analysed as recorded in the clinical dataset; quantitative measured blood-loss values were not consistently available, and the absence of standardised quantitative blood-loss measurement is acknowledged as a limitation.</w:t>
      </w:r>
    </w:p>
    <w:p w14:paraId="29FF73F7" w14:textId="77777777" w:rsidR="00EB5CBC" w:rsidRDefault="00000000">
      <w:pPr>
        <w:spacing w:before="280" w:after="160" w:line="360" w:lineRule="auto"/>
      </w:pPr>
      <w:r>
        <w:rPr>
          <w:b/>
        </w:rPr>
        <w:t>2.4 | Covariates and propensity-score model</w:t>
      </w:r>
    </w:p>
    <w:p w14:paraId="48108EB1" w14:textId="77777777" w:rsidR="00EB5CBC" w:rsidRDefault="00000000">
      <w:pPr>
        <w:spacing w:after="160" w:line="480" w:lineRule="auto"/>
        <w:jc w:val="both"/>
      </w:pPr>
      <w:r>
        <w:t>Covariates were selected using clinical knowledge and directed-acyclic-graph reasoning, prioritising baseline maternal characteristics that plausibly affect both exposure (DCC adoption decisions and timing) and outcome (postpartum haemoglobin trajectory). The retained covariates were pre-delivery haemoglobin, body mass index, parity, delivery mode, plurality, grand multiparity, iron use during pregnancy, intravenous ferric carboxymaltose use, any maternal comorbidity, any pregnancy complication, and calendar time modelled as a natural cubic spline with three degrees of freedom. Continuous covariates with possible non-linear effects (pre-delivery haemoglobin and body mass index) were also entered as natural cubic splines (df = 3) in the propensity model. Uterotonic agent was described in baseline tables because it was imbalanced, but it was not included as a primary confounder because timing relative to the exposure and outcome could not be established reliably and inclusion risked adjustment for a downstream variable.</w:t>
      </w:r>
    </w:p>
    <w:p w14:paraId="3E3EEC79" w14:textId="77777777" w:rsidR="00EB5CBC" w:rsidRDefault="00000000">
      <w:pPr>
        <w:spacing w:before="280" w:after="160" w:line="360" w:lineRule="auto"/>
      </w:pPr>
      <w:r>
        <w:rPr>
          <w:b/>
        </w:rPr>
        <w:t>2.5 | Statistical analyses</w:t>
      </w:r>
    </w:p>
    <w:p w14:paraId="0F02C570" w14:textId="77777777" w:rsidR="00EB5CBC" w:rsidRDefault="00000000">
      <w:pPr>
        <w:spacing w:after="160" w:line="480" w:lineRule="auto"/>
        <w:jc w:val="both"/>
      </w:pPr>
      <w:r>
        <w:t xml:space="preserve">Binary outcomes were analysed using modified Poisson regression with robust standard errors to estimate risk ratios (RRs);¹⁴ continuous outcomes were analysed using linear regression to </w:t>
      </w:r>
      <w:r>
        <w:lastRenderedPageBreak/>
        <w:t>estimate mean differences. The primary estimand compared DCC ≥60 s with immediate/30-second clamping among records with valid delivery dates.</w:t>
      </w:r>
    </w:p>
    <w:p w14:paraId="785D073E" w14:textId="77777777" w:rsidR="00EB5CBC" w:rsidRDefault="00000000">
      <w:pPr>
        <w:spacing w:after="160" w:line="480" w:lineRule="auto"/>
        <w:jc w:val="both"/>
      </w:pPr>
      <w:r>
        <w:t>Four complementary approaches were applied to the primary outcome and each secondary outcome: (i) covariate-adjusted modified Poisson regression; (ii) stabilised inverse-probability-of-treatment weighting (IPTW; ATE estimand) with weights truncated at the 1st and 99th percentiles to limit the influence of extreme weights; (iii) overlap weighting (ATO estimand), which is bounded by construction and emphasises the population in clinical equipoise; and (iv) 1:1 nearest-neighbour propensity-score matching with a 0.2 standard-deviation caliper. IPTW and overlap-weighted outcome models used a quasi-Poisson generalised linear model with a log link estimated by survey-weighted estimation, with sandwich-type robust standard errors. Balance was assessed using standardised mean differences (SMDs); SMDs &lt;0.10 were considered acceptable, and SMDs &lt;0.20 acceptable in matched samples. The propensity-score formula and balance diagnostics are reported in the supplement.</w:t>
      </w:r>
    </w:p>
    <w:p w14:paraId="23EBC026" w14:textId="77777777" w:rsidR="00EB5CBC" w:rsidRDefault="00000000">
      <w:pPr>
        <w:spacing w:after="160" w:line="480" w:lineRule="auto"/>
        <w:jc w:val="both"/>
      </w:pPr>
      <w:r>
        <w:t>A clinically motivated delivery-mode interaction was tested with a multiplicative product term and explored with delivery-mode-specific adjusted estimates. Sensitivity analyses included a four-level cord-clamping timing model, clustered-ID robust standard errors to account for any maternal-level repeated records, exclusion of any rows sharing both study identifier and delivery date, conventional logistic models for binary outcomes, and Firth-penalised logistic regression for the sparse blood-transfusion outcome.¹⁵ E-values were calculated for the primary IPTW estimate and interpreted as the minimum strength of association on the risk-ratio scale that an unmeasured confounder would need to have with both exposure and outcome to fully explain the observed estimate;¹⁶ because the primary confidence interval crossed the null, the limit E-value was 1.00 by construction and was not interpreted as proof of robustness.</w:t>
      </w:r>
    </w:p>
    <w:p w14:paraId="26373791" w14:textId="77777777" w:rsidR="00EB5CBC" w:rsidRDefault="00000000">
      <w:pPr>
        <w:spacing w:after="160" w:line="480" w:lineRule="auto"/>
        <w:jc w:val="both"/>
      </w:pPr>
      <w:r>
        <w:lastRenderedPageBreak/>
        <w:t>Estimates are presented with 95% confidence intervals. P-values are reported where they aid interpretation of interaction tests, but conclusions emphasise effect estimates, confidence intervals and clinical plausibility, in line with current AOGS guidance on the reporting of methods and statistical analyses.¹² All analyses were performed in R using the WeightIt, MatchIt, cobalt, survey, sandwich, logistf, EValue and splines packages. The full analysis script is supplied as supplementary material.</w:t>
      </w:r>
    </w:p>
    <w:p w14:paraId="2F5B6D46" w14:textId="77777777" w:rsidR="00EB5CBC" w:rsidRDefault="00000000">
      <w:pPr>
        <w:spacing w:before="280" w:after="160" w:line="360" w:lineRule="auto"/>
      </w:pPr>
      <w:r>
        <w:rPr>
          <w:b/>
        </w:rPr>
        <w:t>2.6 | Ethics</w:t>
      </w:r>
    </w:p>
    <w:p w14:paraId="617BE7BA" w14:textId="77777777" w:rsidR="00EB5CBC" w:rsidRDefault="00000000">
      <w:pPr>
        <w:spacing w:after="160" w:line="480" w:lineRule="auto"/>
        <w:jc w:val="both"/>
      </w:pPr>
      <w:r>
        <w:t>The study was approved by the institutional ethics committee (details on title page); informed consent was waived because the analysis used retrospective de-identified routine clinical data, in accordance with national regulations and the Declaration of Helsinki.</w:t>
      </w:r>
    </w:p>
    <w:p w14:paraId="6975A77B" w14:textId="77777777" w:rsidR="00EB5CBC" w:rsidRDefault="00000000">
      <w:pPr>
        <w:spacing w:before="280" w:after="160" w:line="360" w:lineRule="auto"/>
      </w:pPr>
      <w:r>
        <w:rPr>
          <w:b/>
          <w:sz w:val="28"/>
        </w:rPr>
        <w:t>3 | RESULTS</w:t>
      </w:r>
    </w:p>
    <w:p w14:paraId="61A6FC83" w14:textId="77777777" w:rsidR="00EB5CBC" w:rsidRDefault="00000000">
      <w:pPr>
        <w:spacing w:before="280" w:after="160" w:line="360" w:lineRule="auto"/>
      </w:pPr>
      <w:r>
        <w:rPr>
          <w:b/>
        </w:rPr>
        <w:t>3.1 | Study population and DCC adoption</w:t>
      </w:r>
    </w:p>
    <w:p w14:paraId="5E321DD5" w14:textId="77777777" w:rsidR="00EB5CBC" w:rsidRDefault="00000000">
      <w:pPr>
        <w:spacing w:after="160" w:line="480" w:lineRule="auto"/>
        <w:jc w:val="both"/>
      </w:pPr>
      <w:r>
        <w:t>The full cohort included 4,644 delivery episodes (Figure 1): 2,751 immediate/30-second clamping episodes and 1,893 DCC ≥60 s episodes. The calendar-adjusted analysis cohort comprised 4,631 episodes, including 2,743 immediate/30-second and 1,888 DCC episodes. DCC adoption increased from 10.2% in 2022 to 40.3% in 2023 and 62.3% in 2024 (Figure 5 and Supplementary Table S4).</w:t>
      </w:r>
    </w:p>
    <w:p w14:paraId="43AF51F7" w14:textId="77777777" w:rsidR="00EB5CBC" w:rsidRDefault="00000000">
      <w:pPr>
        <w:spacing w:before="280" w:after="160" w:line="360" w:lineRule="auto"/>
      </w:pPr>
      <w:r>
        <w:rPr>
          <w:b/>
        </w:rPr>
        <w:t>3.2 | Baseline characteristics and balance</w:t>
      </w:r>
    </w:p>
    <w:p w14:paraId="37E8458D" w14:textId="77777777" w:rsidR="00EB5CBC" w:rsidRDefault="00000000">
      <w:pPr>
        <w:spacing w:after="160" w:line="480" w:lineRule="auto"/>
        <w:jc w:val="both"/>
      </w:pPr>
      <w:r>
        <w:t xml:space="preserve">Baseline characteristics by exposure group are shown in Table 1. Calendar time was the largest pre-adjustment imbalance (delivery-year SMD 1.008; delivery-date numeric SMD 1.005). Body mass index (SMD 0.126), plurality (SMD 0.129), intravenous ferric carboxymaltose use (SMD </w:t>
      </w:r>
      <w:r>
        <w:lastRenderedPageBreak/>
        <w:t>0.102) and uterotonic agent (SMD 0.135) showed modest imbalance. After stabilised IPTW, all covariates met the SMD &lt;0.10 threshold; the largest residual SMD was for delivery-date numeric (0.071). Overlap weighting achieved near-exact balance across retained covariates. The Love plot is shown in Figure 2; supplementary Love plots and balance tables are provided for IPTW and overlap weighting (Supplementary Figures S1–S2). The IPTW effective sample size was 2,349.6 in the immediate/30 s group and 727.1 in the DCC group, reflecting the heavy reliance on the small number of DCC observations from 2022 to inform the calendar-adjusted estimate.</w:t>
      </w:r>
    </w:p>
    <w:p w14:paraId="64C0FD60" w14:textId="77777777" w:rsidR="00EB5CBC" w:rsidRDefault="00000000">
      <w:pPr>
        <w:spacing w:before="280" w:after="160" w:line="360" w:lineRule="auto"/>
      </w:pPr>
      <w:r>
        <w:rPr>
          <w:b/>
        </w:rPr>
        <w:t>3.3 | Primary outcome</w:t>
      </w:r>
    </w:p>
    <w:p w14:paraId="5AC52CD5" w14:textId="77777777" w:rsidR="00EB5CBC" w:rsidRDefault="00000000">
      <w:pPr>
        <w:spacing w:after="160" w:line="480" w:lineRule="auto"/>
        <w:jc w:val="both"/>
      </w:pPr>
      <w:r>
        <w:t>In the adjusted analysis cohort, postpartum anaemia (Hb &lt;10 g/dL) occurred in 624 of 2,743 immediate/30-second episodes (22.7%) and 390 of 1,888 DCC episodes (20.7%). The unadjusted RR in the full cohort was 0.91 (95% CI 0.81–1.01). After adjustment, there was no overall association: covariate-adjusted RR 1.02 (0.92–1.13); stabilised IPTW RR 1.01 (0.88–1.16); overlap-weighted RR 0.99 (0.87–1.13); and matched RR 0.88 (0.76–1.01). Cross-method estimates are summarised in Figure 3 and Table 2.</w:t>
      </w:r>
    </w:p>
    <w:p w14:paraId="5955C2DD" w14:textId="77777777" w:rsidR="00EB5CBC" w:rsidRDefault="00000000">
      <w:pPr>
        <w:spacing w:before="280" w:after="160" w:line="360" w:lineRule="auto"/>
      </w:pPr>
      <w:r>
        <w:rPr>
          <w:b/>
        </w:rPr>
        <w:t>3.4 | Secondary outcomes</w:t>
      </w:r>
    </w:p>
    <w:p w14:paraId="4A21902C" w14:textId="77777777" w:rsidR="00EB5CBC" w:rsidRDefault="00000000">
      <w:pPr>
        <w:spacing w:after="160" w:line="480" w:lineRule="auto"/>
        <w:jc w:val="both"/>
      </w:pPr>
      <w:r>
        <w:t xml:space="preserve">DCC was not associated with postpartum anaemia using the Hb &lt;11 g/dL threshold, haemoglobin drop ≥2 g/dL (cross-method estimates in Figure 3; subject-level distribution in Supplementary Figure S3), continuous haemoglobin measures, PPH or blood transfusion after adjustment (Table 2). PPH was higher before adjustment (unadjusted RR 1.39, 95% CI 1.03–1.86) but the association attenuated after calendar-time and covariate adjustment (covariate-adjusted RR 1.17, 95% CI 0.85–1.60; IPTW RR 1.11, 95% CI 0.77–1.59). The transfusion </w:t>
      </w:r>
      <w:r>
        <w:lastRenderedPageBreak/>
        <w:t>outcome was sparse, with 28 events in the analysed cohort; Firth-penalised logistic regression yielded an odds ratio of 0.60 (95% CI 0.24–1.39).</w:t>
      </w:r>
    </w:p>
    <w:p w14:paraId="04A4B371" w14:textId="77777777" w:rsidR="00EB5CBC" w:rsidRDefault="00000000">
      <w:pPr>
        <w:spacing w:before="280" w:after="160" w:line="360" w:lineRule="auto"/>
      </w:pPr>
      <w:r>
        <w:rPr>
          <w:b/>
        </w:rPr>
        <w:t>3.5 | Delivery-mode interaction</w:t>
      </w:r>
    </w:p>
    <w:p w14:paraId="3D84A628" w14:textId="77777777" w:rsidR="00EB5CBC" w:rsidRDefault="00000000">
      <w:pPr>
        <w:spacing w:after="160" w:line="480" w:lineRule="auto"/>
        <w:jc w:val="both"/>
      </w:pPr>
      <w:r>
        <w:t>A delivery-mode product term suggested divergence in postpartum anaemia estimates (interaction ratio 0.75, 95% CI 0.61–0.92; p = 0.005). In delivery-mode-specific adjusted models the vaginal-delivery estimate was RR 1.20 (95% CI 1.00–1.44, p = 0.050), whereas the caesarean-delivery estimate was RR 0.92 (95% CI 0.81–1.04, p = 0.196) (Table 3, Figure 4). Similar divergence was observed for clinically recorded PPH (interaction ratio 0.43, 95% CI 0.23–0.82; p = 0.010) and continuous haemoglobin drop (interaction difference −0.16 g/dL, 95% CI −0.25 to −0.07; p = 0.001). Subgroup analyses for plurality and pre-delivery anaemia did not show heterogeneity (Table 3).</w:t>
      </w:r>
    </w:p>
    <w:p w14:paraId="24E71789" w14:textId="77777777" w:rsidR="00EB5CBC" w:rsidRDefault="00000000">
      <w:pPr>
        <w:spacing w:before="280" w:after="160" w:line="360" w:lineRule="auto"/>
      </w:pPr>
      <w:r>
        <w:rPr>
          <w:b/>
        </w:rPr>
        <w:t>3.6 | Sensitivity analyses</w:t>
      </w:r>
    </w:p>
    <w:p w14:paraId="507EB5CA" w14:textId="77777777" w:rsidR="00EB5CBC" w:rsidRDefault="00000000">
      <w:pPr>
        <w:spacing w:after="160" w:line="480" w:lineRule="auto"/>
        <w:jc w:val="both"/>
      </w:pPr>
      <w:r>
        <w:t>Four-level timing analyses did not show a monotonic dose–response for postpartum anaemia (Supplementary Figure S5). Compared with immediate clamping, the RRs were 0.91 (95% CI 0.77–1.07) for 30 seconds, 0.96 (0.81–1.13) for 60 seconds and 0.91 (0.73–1.14) for 120 seconds. Clustered-ID and duplicate-exclusion sensitivity analyses were consistent with the primary covariate-adjusted model (Supplementary Table S2). The point E-value for the IPTW estimate was 1.14 and the limit E-value was 1.00, reflecting the near-null estimate and confidence interval crossing the null rather than evidence of robustness against unmeasured confounding (Supplementary Table S3).</w:t>
      </w:r>
    </w:p>
    <w:p w14:paraId="2810EA1D" w14:textId="77777777" w:rsidR="00EB5CBC" w:rsidRDefault="00000000">
      <w:pPr>
        <w:spacing w:before="280" w:after="160" w:line="360" w:lineRule="auto"/>
      </w:pPr>
      <w:r>
        <w:rPr>
          <w:b/>
          <w:sz w:val="28"/>
        </w:rPr>
        <w:t>4 | DISCUSSION</w:t>
      </w:r>
    </w:p>
    <w:p w14:paraId="2BF22B4F" w14:textId="77777777" w:rsidR="00EB5CBC" w:rsidRDefault="00000000">
      <w:pPr>
        <w:spacing w:before="280" w:after="160" w:line="360" w:lineRule="auto"/>
      </w:pPr>
      <w:r>
        <w:rPr>
          <w:b/>
        </w:rPr>
        <w:lastRenderedPageBreak/>
        <w:t>4.1 | Main findings</w:t>
      </w:r>
    </w:p>
    <w:p w14:paraId="04744833" w14:textId="77777777" w:rsidR="00EB5CBC" w:rsidRDefault="00000000">
      <w:pPr>
        <w:spacing w:after="160" w:line="480" w:lineRule="auto"/>
        <w:jc w:val="both"/>
      </w:pPr>
      <w:r>
        <w:t>In this single-centre, calendar-time-adjusted cohort of 4,631 delivery episodes, DCC ≥60 s was not associated with worse maternal haematological outcomes overall. The primary anaemia estimate was close to the null across covariate-adjusted, stabilised IPTW and overlap-weighted analyses, and secondary outcomes did not indicate increased risk of PPH, haemoglobin drop ≥2 g/dL or blood transfusion after adjustment.</w:t>
      </w:r>
    </w:p>
    <w:p w14:paraId="7C027F7A" w14:textId="77777777" w:rsidR="00EB5CBC" w:rsidRDefault="00000000">
      <w:pPr>
        <w:spacing w:after="160" w:line="480" w:lineRule="auto"/>
        <w:jc w:val="both"/>
      </w:pPr>
      <w:r>
        <w:t>The analysis also illustrates the importance of explicitly modelling calendar time in DCC implementation studies. DCC adoption rose sharply over the study period; unadjusted PPH estimates were materially attenuated after modelling calendar time and baseline covariates. This pattern supports calendar time as a major source of confounding rather than evidence of a direct PPH effect of DCC.</w:t>
      </w:r>
    </w:p>
    <w:p w14:paraId="06E158F2" w14:textId="77777777" w:rsidR="00EB5CBC" w:rsidRDefault="00000000">
      <w:pPr>
        <w:spacing w:before="280" w:after="160" w:line="360" w:lineRule="auto"/>
      </w:pPr>
      <w:r>
        <w:rPr>
          <w:b/>
        </w:rPr>
        <w:t>4.2 | Strengths and limitations</w:t>
      </w:r>
    </w:p>
    <w:p w14:paraId="0E1DE581" w14:textId="77777777" w:rsidR="00EB5CBC" w:rsidRDefault="00000000">
      <w:pPr>
        <w:spacing w:after="160" w:line="480" w:lineRule="auto"/>
        <w:jc w:val="both"/>
      </w:pPr>
      <w:r>
        <w:t>Strengths include a large consecutive cohort, complete exposure and 6-hour haemoglobin data, explicit adjustment for calendar-time confounding via a flexible spline, the use of four complementary regression and propensity-score approaches with concordant findings, comprehensive balance diagnostics and pre-specified sensitivity analyses for sparse events, clustered records and unmeasured confounding.</w:t>
      </w:r>
    </w:p>
    <w:p w14:paraId="2BFA3213" w14:textId="77777777" w:rsidR="00EB5CBC" w:rsidRDefault="00000000">
      <w:pPr>
        <w:spacing w:after="160" w:line="480" w:lineRule="auto"/>
        <w:jc w:val="both"/>
      </w:pPr>
      <w:r>
        <w:t xml:space="preserve">Limitations are also substantial. First, the study is single-centre and retrospective, with the inherent risk of residual confounding from variables not captured in the routine record (for example, intrapartum decisions, fluid balance and timing of uterotonic administration relative to placental delivery). The IPTW effective sample size for the DCC group was reduced by approximately 60%, indicating that the calendar-adjusted weighted estimate relies heavily on the </w:t>
      </w:r>
      <w:r>
        <w:lastRenderedPageBreak/>
        <w:t>small number of DCC observations early in the study period; the concordance with overlap weighting and matching mitigates but does not eliminate this concern. Second, cord-clamping timing was recorded categorically (0, 30, 60, 120 s) rather than continuously, limiting the power to detect a smooth dose–response. Third, PPH was analysed as a clinically recorded variable rather than from standardised quantitative measured blood loss; documentation practices may themselves have changed over the study period, contributing to outcome ascertainment confounding that calendar-time adjustment can address only partially. Fourth, uterotonic agent was imbalanced and could not be included in the primary propensity model without risking adjustment for a downstream variable; we describe but do not adjust for it. Fifth, transfusion was rare (n = 28), producing wide confidence intervals despite Firth penalisation. Sixth, the delivery-mode interaction was clinically motivated and statistically supported, but subgroup estimates remain exploratory; the interaction-direction comparison highlights the importance of evaluating maternal effects of DCC within rather than across delivery routes. Seventh, generalisability beyond a tertiary university setting in this region is uncertain.</w:t>
      </w:r>
    </w:p>
    <w:p w14:paraId="385FBCD3" w14:textId="77777777" w:rsidR="00EB5CBC" w:rsidRDefault="00000000">
      <w:pPr>
        <w:spacing w:before="280" w:after="160" w:line="360" w:lineRule="auto"/>
      </w:pPr>
      <w:r>
        <w:rPr>
          <w:b/>
        </w:rPr>
        <w:t>4.3 | Interpretation in the context of existing evidence</w:t>
      </w:r>
    </w:p>
    <w:p w14:paraId="4BDBADCA" w14:textId="77777777" w:rsidR="00EB5CBC" w:rsidRDefault="00000000">
      <w:pPr>
        <w:spacing w:after="160" w:line="480" w:lineRule="auto"/>
        <w:jc w:val="both"/>
      </w:pPr>
      <w:r>
        <w:t>Our overall null finding for postpartum anaemia, PPH and transfusion is consistent with the foundational AOGS randomised trial,⁶ the JAMA term-caesarean trial,⁷ contemporary multiple-pregnancy evidence¹⁸ and neonatal-focused preterm evidence,⁹,¹⁰ and a 2025 caesarean-delivery meta-analysis.⁸ The 2025 WHO consolidated postpartum-haemorrhage guidelines explicitly retain antenatal anaemia as a modifiable risk factor and endorse implementation packages such as the E-MOTIVE bundle,²,¹⁷ which underscores the value of high-quality maternal-safety data for third-stage practices in real-world cohorts.</w:t>
      </w:r>
    </w:p>
    <w:p w14:paraId="45A6EEA2" w14:textId="77777777" w:rsidR="00EB5CBC" w:rsidRDefault="00000000">
      <w:pPr>
        <w:spacing w:after="160" w:line="480" w:lineRule="auto"/>
        <w:jc w:val="both"/>
      </w:pPr>
      <w:r>
        <w:lastRenderedPageBreak/>
        <w:t>The most clinically interesting signal in our analysis is the delivery-mode interaction for postpartum anaemia, with a vaginal-delivery point estimate suggesting modestly higher anaemia risk and a caesarean estimate compatible with no difference. Plausible mechanisms include differences in third-stage physiology, timing of uterotonic administration, blood-loss ascertainment and unmeasured case mix; alternatively, calendar-time confounding could differ in magnitude or direction by mode of delivery. Because delivery mode was not randomised and was embedded in evolving clinical practice, this interaction should guide prospective evaluation rather than immediate protocol change.¹⁸</w:t>
      </w:r>
    </w:p>
    <w:p w14:paraId="301D84EF" w14:textId="77777777" w:rsidR="00EB5CBC" w:rsidRDefault="00000000">
      <w:pPr>
        <w:spacing w:before="280" w:after="160" w:line="360" w:lineRule="auto"/>
      </w:pPr>
      <w:r>
        <w:rPr>
          <w:b/>
        </w:rPr>
        <w:t>4.4 | Implications for practice and research</w:t>
      </w:r>
    </w:p>
    <w:p w14:paraId="7781949F" w14:textId="77777777" w:rsidR="00EB5CBC" w:rsidRDefault="00000000">
      <w:pPr>
        <w:spacing w:after="160" w:line="480" w:lineRule="auto"/>
        <w:jc w:val="both"/>
      </w:pPr>
      <w:r>
        <w:t>These data add to the growing body of evidence supporting maternal safety of guideline-concordant DCC across the gestational range encountered in routine practice and align with current AOGS¹² and 2025 WHO² guidance. Future work should ideally use prospective designs with measured blood loss, pre-specified third-stage management protocols (including timing of uterotonic relative to placental delivery), continuous cord-clamping timing rather than categorical bins, and pre-stated subgroup hypotheses by mode of delivery.</w:t>
      </w:r>
    </w:p>
    <w:p w14:paraId="412F82C2" w14:textId="77777777" w:rsidR="00EB5CBC" w:rsidRDefault="00000000">
      <w:pPr>
        <w:spacing w:before="280" w:after="160" w:line="360" w:lineRule="auto"/>
      </w:pPr>
      <w:r>
        <w:rPr>
          <w:b/>
          <w:sz w:val="28"/>
        </w:rPr>
        <w:t>5 | CONCLUSION</w:t>
      </w:r>
    </w:p>
    <w:p w14:paraId="56B83500" w14:textId="77777777" w:rsidR="00EB5CBC" w:rsidRDefault="00000000">
      <w:pPr>
        <w:spacing w:after="160" w:line="480" w:lineRule="auto"/>
        <w:jc w:val="both"/>
      </w:pPr>
      <w:r>
        <w:t>After calendar-time-adjusted multimethod analysis, DCC ≥60 seconds was not associated with worse maternal haematological outcomes overall. The observed delivery-mode divergence for postpartum anaemia is hypothesis-generating and should be evaluated prospectively, particularly in studies with standardised third-stage management, measured blood loss and clearly recorded uterotonic timing.</w:t>
      </w:r>
    </w:p>
    <w:p w14:paraId="73D629BF" w14:textId="77777777" w:rsidR="00EB5CBC" w:rsidRDefault="00000000">
      <w:pPr>
        <w:spacing w:before="280" w:after="160" w:line="360" w:lineRule="auto"/>
      </w:pPr>
      <w:r>
        <w:rPr>
          <w:b/>
          <w:sz w:val="28"/>
        </w:rPr>
        <w:t>REFERENCES</w:t>
      </w:r>
    </w:p>
    <w:p w14:paraId="7A0C820A" w14:textId="77777777" w:rsidR="00EB5CBC" w:rsidRDefault="00000000">
      <w:pPr>
        <w:spacing w:after="80" w:line="360" w:lineRule="auto"/>
        <w:ind w:left="397" w:hanging="397"/>
        <w:jc w:val="both"/>
      </w:pPr>
      <w:r>
        <w:lastRenderedPageBreak/>
        <w:t>1. Bienstock JL, Eke AC, Hueppchen NA. Postpartum hemorrhage. N Engl J Med. 2021;384(17):1635–1645.</w:t>
      </w:r>
    </w:p>
    <w:p w14:paraId="4CE5AB00" w14:textId="77777777" w:rsidR="00EB5CBC" w:rsidRDefault="00000000">
      <w:pPr>
        <w:spacing w:after="80" w:line="360" w:lineRule="auto"/>
        <w:ind w:left="397" w:hanging="397"/>
        <w:jc w:val="both"/>
      </w:pPr>
      <w:r>
        <w:t>2. World Health Organization. Consolidated guidelines for the prevention, diagnosis and treatment of postpartum haemorrhage. Geneva: WHO; 2025.</w:t>
      </w:r>
    </w:p>
    <w:p w14:paraId="21DDF219" w14:textId="77777777" w:rsidR="00EB5CBC" w:rsidRDefault="00000000">
      <w:pPr>
        <w:spacing w:after="80" w:line="360" w:lineRule="auto"/>
        <w:ind w:left="397" w:hanging="397"/>
        <w:jc w:val="both"/>
      </w:pPr>
      <w:r>
        <w:t>3. American College of Obstetricians and Gynecologists. Delayed umbilical cord clamping after birth. ACOG Committee Opinion No. 814. Obstet Gynecol. 2020;136(6):e100–e106.</w:t>
      </w:r>
    </w:p>
    <w:p w14:paraId="5A9D6D6A" w14:textId="77777777" w:rsidR="00EB5CBC" w:rsidRDefault="00000000">
      <w:pPr>
        <w:spacing w:after="80" w:line="360" w:lineRule="auto"/>
        <w:ind w:left="397" w:hanging="397"/>
        <w:jc w:val="both"/>
      </w:pPr>
      <w:r>
        <w:t>4. McDonald SJ, Middleton P, Dowswell T, Morris PS. Effect of timing of umbilical cord clamping of term infants on maternal and neonatal outcomes. Cochrane Database Syst Rev. 2013;(7):CD004074.</w:t>
      </w:r>
    </w:p>
    <w:p w14:paraId="647B6E85" w14:textId="77777777" w:rsidR="00EB5CBC" w:rsidRDefault="00000000">
      <w:pPr>
        <w:spacing w:after="80" w:line="360" w:lineRule="auto"/>
        <w:ind w:left="397" w:hanging="397"/>
        <w:jc w:val="both"/>
      </w:pPr>
      <w:r>
        <w:t>5. American College of Obstetricians and Gynecologists. ACOG clinical practice update: an update to clinical guidance for delayed umbilical cord clamping after birth in preterm neonates. Obstet Gynecol. 2025;146(3):442–444.</w:t>
      </w:r>
    </w:p>
    <w:p w14:paraId="6E4BDD8C" w14:textId="77777777" w:rsidR="00EB5CBC" w:rsidRDefault="00000000">
      <w:pPr>
        <w:spacing w:after="80" w:line="360" w:lineRule="auto"/>
        <w:ind w:left="397" w:hanging="397"/>
        <w:jc w:val="both"/>
      </w:pPr>
      <w:r>
        <w:t>6. Andersson O, Hellström-Westas L, Andersson D, Clausen J, Domellöf M. Effects of delayed compared with early umbilical cord clamping on maternal postpartum haemorrhage and cord blood gas sampling: a randomised trial. Acta Obstet Gynecol Scand. 2013;92(5):567–574.</w:t>
      </w:r>
    </w:p>
    <w:p w14:paraId="6F7F4003" w14:textId="77777777" w:rsidR="00EB5CBC" w:rsidRDefault="00000000">
      <w:pPr>
        <w:spacing w:after="80" w:line="360" w:lineRule="auto"/>
        <w:ind w:left="397" w:hanging="397"/>
        <w:jc w:val="both"/>
      </w:pPr>
      <w:r>
        <w:t>7. Purisch SE, Ananth CV, Arditi B, Mauney L, Ajemian B, Heiderich A, et al. Effect of delayed vs immediate umbilical cord clamping on maternal blood loss in term cesarean delivery: a randomized clinical trial. JAMA. 2019;322(19):1869–1876.</w:t>
      </w:r>
    </w:p>
    <w:p w14:paraId="7FC7B28A" w14:textId="77777777" w:rsidR="00EB5CBC" w:rsidRDefault="00000000">
      <w:pPr>
        <w:spacing w:after="80" w:line="360" w:lineRule="auto"/>
        <w:ind w:left="397" w:hanging="397"/>
        <w:jc w:val="both"/>
      </w:pPr>
      <w:r>
        <w:t>8. Arora A, Hesson A, Berghella V, Sciscione AC, Kawakita T, Saade GR, et al. Maternal and neonatal outcomes after delayed vs early cord clamping at cesarean delivery: a systematic review and meta-analysis. Am J Obstet Gynecol MFM. 2025;7(6):101680.</w:t>
      </w:r>
    </w:p>
    <w:p w14:paraId="2B19574A" w14:textId="77777777" w:rsidR="00EB5CBC" w:rsidRDefault="00000000">
      <w:pPr>
        <w:spacing w:after="80" w:line="360" w:lineRule="auto"/>
        <w:ind w:left="397" w:hanging="397"/>
        <w:jc w:val="both"/>
      </w:pPr>
      <w:r>
        <w:t>9. Seidler AL, Aberoumand M, Hunter KE, Barba A, Libesman S, Williams JG, et al. Deferred cord clamping, cord milking and immediate cord clamping at preterm birth: a systematic review and individual participant data meta-analysis. Lancet. 2023;402(10418):2209–2222.</w:t>
      </w:r>
    </w:p>
    <w:p w14:paraId="06366ECE" w14:textId="77777777" w:rsidR="00EB5CBC" w:rsidRDefault="00000000">
      <w:pPr>
        <w:spacing w:after="80" w:line="360" w:lineRule="auto"/>
        <w:ind w:left="397" w:hanging="397"/>
        <w:jc w:val="both"/>
      </w:pPr>
      <w:r>
        <w:t>10. Seidler AL, Libesman S, Hunter KE, Barba A, Aberoumand M, Williams JG, et al. Short, medium, and long deferral of umbilical cord clamping compared with umbilical cord milking and immediate clamping at preterm birth: a systematic review and network meta-analysis with individual participant data. Lancet. 2023;402(10418):2223–2234.</w:t>
      </w:r>
    </w:p>
    <w:p w14:paraId="71457BCC" w14:textId="77777777" w:rsidR="00EB5CBC" w:rsidRDefault="00000000">
      <w:pPr>
        <w:spacing w:after="80" w:line="360" w:lineRule="auto"/>
        <w:ind w:left="397" w:hanging="397"/>
        <w:jc w:val="both"/>
      </w:pPr>
      <w:r>
        <w:lastRenderedPageBreak/>
        <w:t>11. Lummevaara L, Orden MR, Mykkänen A, et al. Delayed umbilical cord clamping in elective and nonelective term caesarean delivery. J Gynecol Obstet Hum Reprod. 2024;53(2):102717.</w:t>
      </w:r>
    </w:p>
    <w:p w14:paraId="11AB2C56" w14:textId="77777777" w:rsidR="00EB5CBC" w:rsidRDefault="00000000">
      <w:pPr>
        <w:spacing w:after="80" w:line="360" w:lineRule="auto"/>
        <w:ind w:left="397" w:hanging="397"/>
        <w:jc w:val="both"/>
      </w:pPr>
      <w:r>
        <w:t>12. Sedgwick PM. Updated guidelines for the reporting of methods and statistical analyses. Acta Obstet Gynecol Scand. 2024;103(1):4–6.</w:t>
      </w:r>
    </w:p>
    <w:p w14:paraId="6ED09005" w14:textId="77777777" w:rsidR="00EB5CBC" w:rsidRDefault="00000000">
      <w:pPr>
        <w:spacing w:after="80" w:line="360" w:lineRule="auto"/>
        <w:ind w:left="397" w:hanging="397"/>
        <w:jc w:val="both"/>
      </w:pPr>
      <w:r>
        <w:t>13. von Elm E, Altman DG, Egger M, Pocock SJ, Gøtzsche PC, Vandenbroucke JP; STROBE Initiative. The Strengthening the Reporting of Observational Studies in Epidemiology (STROBE) statement: guidelines for reporting observational studies. Lancet. 2007;370(9596):1453–1457.</w:t>
      </w:r>
    </w:p>
    <w:p w14:paraId="5231F32C" w14:textId="77777777" w:rsidR="00EB5CBC" w:rsidRDefault="00000000">
      <w:pPr>
        <w:spacing w:after="80" w:line="360" w:lineRule="auto"/>
        <w:ind w:left="397" w:hanging="397"/>
        <w:jc w:val="both"/>
      </w:pPr>
      <w:r>
        <w:t>14. Zou G. A modified Poisson regression approach to prospective studies with binary data. Am J Epidemiol. 2004;159(7):702–706.</w:t>
      </w:r>
    </w:p>
    <w:p w14:paraId="614AB36D" w14:textId="77777777" w:rsidR="00EB5CBC" w:rsidRDefault="00000000">
      <w:pPr>
        <w:spacing w:after="80" w:line="360" w:lineRule="auto"/>
        <w:ind w:left="397" w:hanging="397"/>
        <w:jc w:val="both"/>
      </w:pPr>
      <w:r>
        <w:t>15. Heinze G, Schemper M. A solution to the problem of separation in logistic regression. Stat Med. 2002;21(16):2409–2419.</w:t>
      </w:r>
    </w:p>
    <w:p w14:paraId="09D251A4" w14:textId="77777777" w:rsidR="00EB5CBC" w:rsidRDefault="00000000">
      <w:pPr>
        <w:spacing w:after="80" w:line="360" w:lineRule="auto"/>
        <w:ind w:left="397" w:hanging="397"/>
        <w:jc w:val="both"/>
      </w:pPr>
      <w:r>
        <w:t>16. VanderWeele TJ, Ding P. Sensitivity analysis in observational research: introducing the E-value. Ann Intern Med. 2017;167(4):268–274.</w:t>
      </w:r>
    </w:p>
    <w:p w14:paraId="6492A96A" w14:textId="77777777" w:rsidR="00EB5CBC" w:rsidRDefault="00000000">
      <w:pPr>
        <w:spacing w:after="80" w:line="360" w:lineRule="auto"/>
        <w:ind w:left="397" w:hanging="397"/>
        <w:jc w:val="both"/>
      </w:pPr>
      <w:r>
        <w:t>17. Gallos ID, Papadopoulou A, Man R, Athanasopoulos N, Tobias A, Price MJ, et al. (E-MOTIVE Trial Group). A randomised trial of early detection and treatment of postpartum haemorrhage. N Engl J Med. 2023;389(1):11–21.</w:t>
      </w:r>
    </w:p>
    <w:p w14:paraId="697A211F" w14:textId="77777777" w:rsidR="00EB5CBC" w:rsidRDefault="00000000">
      <w:pPr>
        <w:spacing w:after="80" w:line="360" w:lineRule="auto"/>
        <w:ind w:left="397" w:hanging="397"/>
        <w:jc w:val="both"/>
      </w:pPr>
      <w:r>
        <w:t>18. Ruangkit C, Leon M, Hassen K, Baker K, Poeltler D, Katheria A. Maternal bleeding complications following early versus delayed umbilical cord clamping in multiple pregnancies. BMC Pregnancy Childbirth. 2018;18(1):131.</w:t>
      </w:r>
    </w:p>
    <w:p w14:paraId="0D558565" w14:textId="77777777" w:rsidR="00EB5CBC" w:rsidRDefault="00000000">
      <w:pPr>
        <w:spacing w:before="280" w:after="160" w:line="360" w:lineRule="auto"/>
      </w:pPr>
      <w:r>
        <w:rPr>
          <w:b/>
          <w:sz w:val="28"/>
        </w:rPr>
        <w:t>FIGURE LEGENDS</w:t>
      </w:r>
    </w:p>
    <w:p w14:paraId="24EB3315" w14:textId="77777777" w:rsidR="00EB5CBC" w:rsidRDefault="00000000">
      <w:pPr>
        <w:spacing w:after="160" w:line="360" w:lineRule="auto"/>
        <w:jc w:val="both"/>
      </w:pPr>
      <w:r>
        <w:rPr>
          <w:b/>
        </w:rPr>
        <w:t xml:space="preserve">Figure 1. </w:t>
      </w:r>
      <w:r>
        <w:t>Study flow diagram. From an initial register of 5,073 deliveries, 435 records were excluded according to pre-specified criteria (triplet pregnancies, intrapartum fetal distress, fetal anomalies, placental anomalies, maternal haematological disorders), leaving 4,644 episodes for analysis. Thirteen episodes with missing or invalid delivery dates were excluded from calendar-adjusted analyses, leaving 4,631 episodes for the primary adjusted analysis (1,888 delayed cord clamping ≥60 s; 2,743 immediate or 30-second clamping).</w:t>
      </w:r>
    </w:p>
    <w:p w14:paraId="6E1379BA" w14:textId="77777777" w:rsidR="00EB5CBC" w:rsidRDefault="00000000">
      <w:pPr>
        <w:spacing w:after="160" w:line="360" w:lineRule="auto"/>
        <w:jc w:val="both"/>
      </w:pPr>
      <w:r>
        <w:rPr>
          <w:b/>
        </w:rPr>
        <w:lastRenderedPageBreak/>
        <w:t xml:space="preserve">Figure 2. </w:t>
      </w:r>
      <w:r>
        <w:t>Covariate balance before and after stabilised inverse-probability-of-treatment weighting. Standardised mean differences are shown before weighting (open symbols) and after weighting (filled symbols). The dashed line indicates SMD = 0.10.</w:t>
      </w:r>
    </w:p>
    <w:p w14:paraId="7C31D13F" w14:textId="77777777" w:rsidR="00EB5CBC" w:rsidRDefault="00000000">
      <w:pPr>
        <w:spacing w:after="160" w:line="360" w:lineRule="auto"/>
        <w:jc w:val="both"/>
      </w:pPr>
      <w:r>
        <w:rPr>
          <w:b/>
        </w:rPr>
        <w:t xml:space="preserve">Figure 3. </w:t>
      </w:r>
      <w:r>
        <w:t>Cross-method estimates for delayed cord clamping ≥60 seconds versus immediate or 30-second clamping across all binary maternal outcomes. For each of postpartum anaemia (Hb &lt;10 g/dL), postpartum anaemia (Hb &lt;11 g/dL), haemoglobin drop ≥2 g/dL, clinically recorded postpartum haemorrhage and blood transfusion, risk ratios are shown under covariate-adjusted modified Poisson regression, stabilised inverse-probability-of-treatment weighting, overlap weighting and 1:1 propensity-score matching. The Firth-penalised logistic odds ratio is additionally reported for the sparse transfusion outcome. Whiskers are 95% confidence intervals.</w:t>
      </w:r>
    </w:p>
    <w:p w14:paraId="1E3567AF" w14:textId="77777777" w:rsidR="00EB5CBC" w:rsidRDefault="00000000">
      <w:pPr>
        <w:spacing w:after="160" w:line="360" w:lineRule="auto"/>
        <w:jc w:val="both"/>
      </w:pPr>
      <w:r>
        <w:rPr>
          <w:b/>
        </w:rPr>
        <w:t xml:space="preserve">Figure 4. </w:t>
      </w:r>
      <w:r>
        <w:t>Subgroup forest plot for the primary outcome, postpartum anaemia (Hb &lt;10 g/dL). Adjusted risk ratios with 95% confidence intervals are shown for vaginal delivery, caesarean delivery, singleton pregnancy, multiple pregnancy, pre-delivery anaemia and no pre-delivery anaemia, and the formal delivery-mode interaction-ratio estimate.</w:t>
      </w:r>
    </w:p>
    <w:p w14:paraId="01D7598D" w14:textId="77777777" w:rsidR="00EB5CBC" w:rsidRDefault="00000000">
      <w:pPr>
        <w:spacing w:after="160" w:line="360" w:lineRule="auto"/>
        <w:jc w:val="both"/>
      </w:pPr>
      <w:r>
        <w:rPr>
          <w:b/>
        </w:rPr>
        <w:t xml:space="preserve">Figure 5. </w:t>
      </w:r>
      <w:r>
        <w:t>Calendar trend in delayed cord clamping adoption over the study period. The proportion of deliveries with DCC ≥60 s increased from 10.2% in 2022 to 62.3% in 2024.</w:t>
      </w:r>
    </w:p>
    <w:sectPr w:rsidR="00EB5CBC" w:rsidSect="00034616">
      <w:pgSz w:w="12240" w:h="15840"/>
      <w:pgMar w:top="1440" w:right="1440" w:bottom="1440" w:left="1440" w:header="720" w:footer="720" w:gutter="0"/>
      <w:lnNumType w:countBy="1" w:start="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6536292">
    <w:abstractNumId w:val="8"/>
  </w:num>
  <w:num w:numId="2" w16cid:durableId="1174303931">
    <w:abstractNumId w:val="6"/>
  </w:num>
  <w:num w:numId="3" w16cid:durableId="885025331">
    <w:abstractNumId w:val="5"/>
  </w:num>
  <w:num w:numId="4" w16cid:durableId="267927372">
    <w:abstractNumId w:val="4"/>
  </w:num>
  <w:num w:numId="5" w16cid:durableId="596016140">
    <w:abstractNumId w:val="7"/>
  </w:num>
  <w:num w:numId="6" w16cid:durableId="653491544">
    <w:abstractNumId w:val="3"/>
  </w:num>
  <w:num w:numId="7" w16cid:durableId="2056155990">
    <w:abstractNumId w:val="2"/>
  </w:num>
  <w:num w:numId="8" w16cid:durableId="1576738946">
    <w:abstractNumId w:val="1"/>
  </w:num>
  <w:num w:numId="9" w16cid:durableId="959453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063F6"/>
    <w:rsid w:val="00503CAF"/>
    <w:rsid w:val="00AA1D8D"/>
    <w:rsid w:val="00B47730"/>
    <w:rsid w:val="00CB0664"/>
    <w:rsid w:val="00EB5C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B3B7FE"/>
  <w14:defaultImageDpi w14:val="300"/>
  <w15:docId w15:val="{E98C325F-A563-45FB-B3BA-B8B53565C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neNumber">
    <w:name w:val="line number"/>
    <w:basedOn w:val="DefaultParagraphFont"/>
    <w:uiPriority w:val="99"/>
    <w:semiHidden/>
    <w:unhideWhenUsed/>
    <w:rsid w:val="00406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3643</Words>
  <Characters>24445</Characters>
  <Application>Microsoft Office Word</Application>
  <DocSecurity>0</DocSecurity>
  <Lines>520</Lines>
  <Paragraphs>413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27675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GÖKSU GÖÇ</cp:lastModifiedBy>
  <cp:revision>2</cp:revision>
  <dcterms:created xsi:type="dcterms:W3CDTF">2013-12-23T23:15:00Z</dcterms:created>
  <dcterms:modified xsi:type="dcterms:W3CDTF">2026-05-13T12:08:00Z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e09b354b-9868-45f8-8059-f1cedb1258fa</vt:lpwstr>
  </property>
</Properties>
</file>