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jc w:val="both"/>
      </w:pPr>
      <w:r>
        <w:rPr>
          <w:rFonts w:ascii="Times New Roman" w:hAnsi="Times New Roman"/>
          <w:b/>
          <w:i w:val="0"/>
          <w:sz w:val="28"/>
        </w:rPr>
        <w:t>Supplementary Materials</w:t>
      </w:r>
    </w:p>
    <w:p>
      <w:pPr>
        <w:spacing w:after="240" w:line="360" w:lineRule="auto"/>
        <w:jc w:val="both"/>
      </w:pPr>
      <w:r>
        <w:rPr>
          <w:rFonts w:ascii="Times New Roman" w:hAnsi="Times New Roman"/>
          <w:b w:val="0"/>
          <w:i/>
          <w:sz w:val="22"/>
        </w:rPr>
        <w:t>Delayed umbilical cord clamping and postpartum maternal outcomes: a calendar-time-adjusted observational cohort study</w:t>
      </w:r>
    </w:p>
    <w:p>
      <w:pPr>
        <w:spacing w:before="280" w:after="120" w:line="360" w:lineRule="auto"/>
      </w:pPr>
      <w:r>
        <w:rPr>
          <w:rFonts w:ascii="Times New Roman" w:hAnsi="Times New Roman"/>
          <w:b/>
          <w:sz w:val="28"/>
        </w:rPr>
        <w:t>Supplementary File S1. STROBE Checklist</w:t>
      </w:r>
    </w:p>
    <w:p>
      <w:pPr>
        <w:spacing w:after="200" w:line="360" w:lineRule="auto"/>
        <w:jc w:val="both"/>
      </w:pPr>
      <w:r>
        <w:rPr>
          <w:rFonts w:ascii="Times New Roman" w:hAnsi="Times New Roman"/>
          <w:b w:val="0"/>
          <w:i w:val="0"/>
          <w:sz w:val="22"/>
        </w:rPr>
        <w:t>The study is reported in accordance with the Strengthening the Reporting of Observational Studies in Epidemiology (STROBE) statement for cohort studies.</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spacing w:line="240" w:lineRule="auto"/>
            </w:pPr>
            <w:r/>
            <w:r>
              <w:rPr>
                <w:rFonts w:ascii="Times New Roman" w:hAnsi="Times New Roman"/>
                <w:b/>
                <w:sz w:val="20"/>
              </w:rPr>
              <w:t>Item</w:t>
            </w:r>
          </w:p>
        </w:tc>
        <w:tc>
          <w:tcPr>
            <w:tcW w:type="dxa" w:w="3324"/>
          </w:tcPr>
          <w:p>
            <w:pPr>
              <w:spacing w:line="240" w:lineRule="auto"/>
            </w:pPr>
            <w:r/>
            <w:r>
              <w:rPr>
                <w:rFonts w:ascii="Times New Roman" w:hAnsi="Times New Roman"/>
                <w:b/>
                <w:sz w:val="20"/>
              </w:rPr>
              <w:t>STROBE recommendation</w:t>
            </w:r>
          </w:p>
        </w:tc>
        <w:tc>
          <w:tcPr>
            <w:tcW w:type="dxa" w:w="3324"/>
          </w:tcPr>
          <w:p>
            <w:pPr>
              <w:spacing w:line="240" w:lineRule="auto"/>
            </w:pPr>
            <w:r/>
            <w:r>
              <w:rPr>
                <w:rFonts w:ascii="Times New Roman" w:hAnsi="Times New Roman"/>
                <w:b/>
                <w:sz w:val="20"/>
              </w:rPr>
              <w:t>Reported in</w:t>
            </w:r>
          </w:p>
        </w:tc>
      </w:tr>
      <w:tr>
        <w:tc>
          <w:tcPr>
            <w:tcW w:type="dxa" w:w="3324"/>
          </w:tcPr>
          <w:p>
            <w:pPr>
              <w:spacing w:line="240" w:lineRule="auto"/>
            </w:pPr>
            <w:r/>
            <w:r>
              <w:rPr>
                <w:rFonts w:ascii="Times New Roman" w:hAnsi="Times New Roman"/>
                <w:sz w:val="20"/>
              </w:rPr>
              <w:t>1(a)</w:t>
            </w:r>
          </w:p>
        </w:tc>
        <w:tc>
          <w:tcPr>
            <w:tcW w:type="dxa" w:w="3324"/>
          </w:tcPr>
          <w:p>
            <w:pPr>
              <w:spacing w:line="240" w:lineRule="auto"/>
            </w:pPr>
            <w:r/>
            <w:r>
              <w:rPr>
                <w:rFonts w:ascii="Times New Roman" w:hAnsi="Times New Roman"/>
                <w:sz w:val="20"/>
              </w:rPr>
              <w:t>Study design indicated in title/abstract</w:t>
            </w:r>
          </w:p>
        </w:tc>
        <w:tc>
          <w:tcPr>
            <w:tcW w:type="dxa" w:w="3324"/>
          </w:tcPr>
          <w:p>
            <w:pPr>
              <w:spacing w:line="240" w:lineRule="auto"/>
            </w:pPr>
            <w:r/>
            <w:r>
              <w:rPr>
                <w:rFonts w:ascii="Times New Roman" w:hAnsi="Times New Roman"/>
                <w:sz w:val="20"/>
              </w:rPr>
              <w:t>Title and Abstract: 'observational cohort study'</w:t>
            </w:r>
          </w:p>
        </w:tc>
      </w:tr>
      <w:tr>
        <w:tc>
          <w:tcPr>
            <w:tcW w:type="dxa" w:w="3324"/>
          </w:tcPr>
          <w:p>
            <w:pPr>
              <w:spacing w:line="240" w:lineRule="auto"/>
            </w:pPr>
            <w:r/>
            <w:r>
              <w:rPr>
                <w:rFonts w:ascii="Times New Roman" w:hAnsi="Times New Roman"/>
                <w:sz w:val="20"/>
              </w:rPr>
              <w:t>1(b)</w:t>
            </w:r>
          </w:p>
        </w:tc>
        <w:tc>
          <w:tcPr>
            <w:tcW w:type="dxa" w:w="3324"/>
          </w:tcPr>
          <w:p>
            <w:pPr>
              <w:spacing w:line="240" w:lineRule="auto"/>
            </w:pPr>
            <w:r/>
            <w:r>
              <w:rPr>
                <w:rFonts w:ascii="Times New Roman" w:hAnsi="Times New Roman"/>
                <w:sz w:val="20"/>
              </w:rPr>
              <w:t>Informative balanced abstract</w:t>
            </w:r>
          </w:p>
        </w:tc>
        <w:tc>
          <w:tcPr>
            <w:tcW w:type="dxa" w:w="3324"/>
          </w:tcPr>
          <w:p>
            <w:pPr>
              <w:spacing w:line="240" w:lineRule="auto"/>
            </w:pPr>
            <w:r/>
            <w:r>
              <w:rPr>
                <w:rFonts w:ascii="Times New Roman" w:hAnsi="Times New Roman"/>
                <w:sz w:val="20"/>
              </w:rPr>
              <w:t>Structured abstract</w:t>
            </w:r>
          </w:p>
        </w:tc>
      </w:tr>
      <w:tr>
        <w:tc>
          <w:tcPr>
            <w:tcW w:type="dxa" w:w="3324"/>
          </w:tcPr>
          <w:p>
            <w:pPr>
              <w:spacing w:line="240" w:lineRule="auto"/>
            </w:pPr>
            <w:r/>
            <w:r>
              <w:rPr>
                <w:rFonts w:ascii="Times New Roman" w:hAnsi="Times New Roman"/>
                <w:sz w:val="20"/>
              </w:rPr>
              <w:t>2</w:t>
            </w:r>
          </w:p>
        </w:tc>
        <w:tc>
          <w:tcPr>
            <w:tcW w:type="dxa" w:w="3324"/>
          </w:tcPr>
          <w:p>
            <w:pPr>
              <w:spacing w:line="240" w:lineRule="auto"/>
            </w:pPr>
            <w:r/>
            <w:r>
              <w:rPr>
                <w:rFonts w:ascii="Times New Roman" w:hAnsi="Times New Roman"/>
                <w:sz w:val="20"/>
              </w:rPr>
              <w:t>Background and rationale</w:t>
            </w:r>
          </w:p>
        </w:tc>
        <w:tc>
          <w:tcPr>
            <w:tcW w:type="dxa" w:w="3324"/>
          </w:tcPr>
          <w:p>
            <w:pPr>
              <w:spacing w:line="240" w:lineRule="auto"/>
            </w:pPr>
            <w:r/>
            <w:r>
              <w:rPr>
                <w:rFonts w:ascii="Times New Roman" w:hAnsi="Times New Roman"/>
                <w:sz w:val="20"/>
              </w:rPr>
              <w:t>Introduction</w:t>
            </w:r>
          </w:p>
        </w:tc>
      </w:tr>
      <w:tr>
        <w:tc>
          <w:tcPr>
            <w:tcW w:type="dxa" w:w="3324"/>
          </w:tcPr>
          <w:p>
            <w:pPr>
              <w:spacing w:line="240" w:lineRule="auto"/>
            </w:pPr>
            <w:r/>
            <w:r>
              <w:rPr>
                <w:rFonts w:ascii="Times New Roman" w:hAnsi="Times New Roman"/>
                <w:sz w:val="20"/>
              </w:rPr>
              <w:t>3</w:t>
            </w:r>
          </w:p>
        </w:tc>
        <w:tc>
          <w:tcPr>
            <w:tcW w:type="dxa" w:w="3324"/>
          </w:tcPr>
          <w:p>
            <w:pPr>
              <w:spacing w:line="240" w:lineRule="auto"/>
            </w:pPr>
            <w:r/>
            <w:r>
              <w:rPr>
                <w:rFonts w:ascii="Times New Roman" w:hAnsi="Times New Roman"/>
                <w:sz w:val="20"/>
              </w:rPr>
              <w:t>Specific objectives and pre-specified hypotheses</w:t>
            </w:r>
          </w:p>
        </w:tc>
        <w:tc>
          <w:tcPr>
            <w:tcW w:type="dxa" w:w="3324"/>
          </w:tcPr>
          <w:p>
            <w:pPr>
              <w:spacing w:line="240" w:lineRule="auto"/>
            </w:pPr>
            <w:r/>
            <w:r>
              <w:rPr>
                <w:rFonts w:ascii="Times New Roman" w:hAnsi="Times New Roman"/>
                <w:sz w:val="20"/>
              </w:rPr>
              <w:t>Final paragraph of Introduction</w:t>
            </w:r>
          </w:p>
        </w:tc>
      </w:tr>
      <w:tr>
        <w:tc>
          <w:tcPr>
            <w:tcW w:type="dxa" w:w="3324"/>
          </w:tcPr>
          <w:p>
            <w:pPr>
              <w:spacing w:line="240" w:lineRule="auto"/>
            </w:pPr>
            <w:r/>
            <w:r>
              <w:rPr>
                <w:rFonts w:ascii="Times New Roman" w:hAnsi="Times New Roman"/>
                <w:sz w:val="20"/>
              </w:rPr>
              <w:t>4</w:t>
            </w:r>
          </w:p>
        </w:tc>
        <w:tc>
          <w:tcPr>
            <w:tcW w:type="dxa" w:w="3324"/>
          </w:tcPr>
          <w:p>
            <w:pPr>
              <w:spacing w:line="240" w:lineRule="auto"/>
            </w:pPr>
            <w:r/>
            <w:r>
              <w:rPr>
                <w:rFonts w:ascii="Times New Roman" w:hAnsi="Times New Roman"/>
                <w:sz w:val="20"/>
              </w:rPr>
              <w:t>Study design (key elements)</w:t>
            </w:r>
          </w:p>
        </w:tc>
        <w:tc>
          <w:tcPr>
            <w:tcW w:type="dxa" w:w="3324"/>
          </w:tcPr>
          <w:p>
            <w:pPr>
              <w:spacing w:line="240" w:lineRule="auto"/>
            </w:pPr>
            <w:r/>
            <w:r>
              <w:rPr>
                <w:rFonts w:ascii="Times New Roman" w:hAnsi="Times New Roman"/>
                <w:sz w:val="20"/>
              </w:rPr>
              <w:t>Methods §2.1</w:t>
            </w:r>
          </w:p>
        </w:tc>
      </w:tr>
      <w:tr>
        <w:tc>
          <w:tcPr>
            <w:tcW w:type="dxa" w:w="3324"/>
          </w:tcPr>
          <w:p>
            <w:pPr>
              <w:spacing w:line="240" w:lineRule="auto"/>
            </w:pPr>
            <w:r/>
            <w:r>
              <w:rPr>
                <w:rFonts w:ascii="Times New Roman" w:hAnsi="Times New Roman"/>
                <w:sz w:val="20"/>
              </w:rPr>
              <w:t>5</w:t>
            </w:r>
          </w:p>
        </w:tc>
        <w:tc>
          <w:tcPr>
            <w:tcW w:type="dxa" w:w="3324"/>
          </w:tcPr>
          <w:p>
            <w:pPr>
              <w:spacing w:line="240" w:lineRule="auto"/>
            </w:pPr>
            <w:r/>
            <w:r>
              <w:rPr>
                <w:rFonts w:ascii="Times New Roman" w:hAnsi="Times New Roman"/>
                <w:sz w:val="20"/>
              </w:rPr>
              <w:t>Setting, locations, dates</w:t>
            </w:r>
          </w:p>
        </w:tc>
        <w:tc>
          <w:tcPr>
            <w:tcW w:type="dxa" w:w="3324"/>
          </w:tcPr>
          <w:p>
            <w:pPr>
              <w:spacing w:line="240" w:lineRule="auto"/>
            </w:pPr>
            <w:r/>
            <w:r>
              <w:rPr>
                <w:rFonts w:ascii="Times New Roman" w:hAnsi="Times New Roman"/>
                <w:sz w:val="20"/>
              </w:rPr>
              <w:t>Methods §2.1; Results §3.1</w:t>
            </w:r>
          </w:p>
        </w:tc>
      </w:tr>
      <w:tr>
        <w:tc>
          <w:tcPr>
            <w:tcW w:type="dxa" w:w="3324"/>
          </w:tcPr>
          <w:p>
            <w:pPr>
              <w:spacing w:line="240" w:lineRule="auto"/>
            </w:pPr>
            <w:r/>
            <w:r>
              <w:rPr>
                <w:rFonts w:ascii="Times New Roman" w:hAnsi="Times New Roman"/>
                <w:sz w:val="20"/>
              </w:rPr>
              <w:t>6(a)</w:t>
            </w:r>
          </w:p>
        </w:tc>
        <w:tc>
          <w:tcPr>
            <w:tcW w:type="dxa" w:w="3324"/>
          </w:tcPr>
          <w:p>
            <w:pPr>
              <w:spacing w:line="240" w:lineRule="auto"/>
            </w:pPr>
            <w:r/>
            <w:r>
              <w:rPr>
                <w:rFonts w:ascii="Times New Roman" w:hAnsi="Times New Roman"/>
                <w:sz w:val="20"/>
              </w:rPr>
              <w:t>Eligibility criteria; selection methods</w:t>
            </w:r>
          </w:p>
        </w:tc>
        <w:tc>
          <w:tcPr>
            <w:tcW w:type="dxa" w:w="3324"/>
          </w:tcPr>
          <w:p>
            <w:pPr>
              <w:spacing w:line="240" w:lineRule="auto"/>
            </w:pPr>
            <w:r/>
            <w:r>
              <w:rPr>
                <w:rFonts w:ascii="Times New Roman" w:hAnsi="Times New Roman"/>
                <w:sz w:val="20"/>
              </w:rPr>
              <w:t>Methods §2.1; Figure 1</w:t>
            </w:r>
          </w:p>
        </w:tc>
      </w:tr>
      <w:tr>
        <w:tc>
          <w:tcPr>
            <w:tcW w:type="dxa" w:w="3324"/>
          </w:tcPr>
          <w:p>
            <w:pPr>
              <w:spacing w:line="240" w:lineRule="auto"/>
            </w:pPr>
            <w:r/>
            <w:r>
              <w:rPr>
                <w:rFonts w:ascii="Times New Roman" w:hAnsi="Times New Roman"/>
                <w:sz w:val="20"/>
              </w:rPr>
              <w:t>6(b)</w:t>
            </w:r>
          </w:p>
        </w:tc>
        <w:tc>
          <w:tcPr>
            <w:tcW w:type="dxa" w:w="3324"/>
          </w:tcPr>
          <w:p>
            <w:pPr>
              <w:spacing w:line="240" w:lineRule="auto"/>
            </w:pPr>
            <w:r/>
            <w:r>
              <w:rPr>
                <w:rFonts w:ascii="Times New Roman" w:hAnsi="Times New Roman"/>
                <w:sz w:val="20"/>
              </w:rPr>
              <w:t>Matching criteria (matched analyses)</w:t>
            </w:r>
          </w:p>
        </w:tc>
        <w:tc>
          <w:tcPr>
            <w:tcW w:type="dxa" w:w="3324"/>
          </w:tcPr>
          <w:p>
            <w:pPr>
              <w:spacing w:line="240" w:lineRule="auto"/>
            </w:pPr>
            <w:r/>
            <w:r>
              <w:rPr>
                <w:rFonts w:ascii="Times New Roman" w:hAnsi="Times New Roman"/>
                <w:sz w:val="20"/>
              </w:rPr>
              <w:t>Methods §2.5; Supplementary Methods</w:t>
            </w:r>
          </w:p>
        </w:tc>
      </w:tr>
      <w:tr>
        <w:tc>
          <w:tcPr>
            <w:tcW w:type="dxa" w:w="3324"/>
          </w:tcPr>
          <w:p>
            <w:pPr>
              <w:spacing w:line="240" w:lineRule="auto"/>
            </w:pPr>
            <w:r/>
            <w:r>
              <w:rPr>
                <w:rFonts w:ascii="Times New Roman" w:hAnsi="Times New Roman"/>
                <w:sz w:val="20"/>
              </w:rPr>
              <w:t>7</w:t>
            </w:r>
          </w:p>
        </w:tc>
        <w:tc>
          <w:tcPr>
            <w:tcW w:type="dxa" w:w="3324"/>
          </w:tcPr>
          <w:p>
            <w:pPr>
              <w:spacing w:line="240" w:lineRule="auto"/>
            </w:pPr>
            <w:r/>
            <w:r>
              <w:rPr>
                <w:rFonts w:ascii="Times New Roman" w:hAnsi="Times New Roman"/>
                <w:sz w:val="20"/>
              </w:rPr>
              <w:t>Variable definitions</w:t>
            </w:r>
          </w:p>
        </w:tc>
        <w:tc>
          <w:tcPr>
            <w:tcW w:type="dxa" w:w="3324"/>
          </w:tcPr>
          <w:p>
            <w:pPr>
              <w:spacing w:line="240" w:lineRule="auto"/>
            </w:pPr>
            <w:r/>
            <w:r>
              <w:rPr>
                <w:rFonts w:ascii="Times New Roman" w:hAnsi="Times New Roman"/>
                <w:sz w:val="20"/>
              </w:rPr>
              <w:t>Methods §2.2–2.4; data dictionary in Supplementary Materials</w:t>
            </w:r>
          </w:p>
        </w:tc>
      </w:tr>
      <w:tr>
        <w:tc>
          <w:tcPr>
            <w:tcW w:type="dxa" w:w="3324"/>
          </w:tcPr>
          <w:p>
            <w:pPr>
              <w:spacing w:line="240" w:lineRule="auto"/>
            </w:pPr>
            <w:r/>
            <w:r>
              <w:rPr>
                <w:rFonts w:ascii="Times New Roman" w:hAnsi="Times New Roman"/>
                <w:sz w:val="20"/>
              </w:rPr>
              <w:t>8</w:t>
            </w:r>
          </w:p>
        </w:tc>
        <w:tc>
          <w:tcPr>
            <w:tcW w:type="dxa" w:w="3324"/>
          </w:tcPr>
          <w:p>
            <w:pPr>
              <w:spacing w:line="240" w:lineRule="auto"/>
            </w:pPr>
            <w:r/>
            <w:r>
              <w:rPr>
                <w:rFonts w:ascii="Times New Roman" w:hAnsi="Times New Roman"/>
                <w:sz w:val="20"/>
              </w:rPr>
              <w:t>Data sources / measurement</w:t>
            </w:r>
          </w:p>
        </w:tc>
        <w:tc>
          <w:tcPr>
            <w:tcW w:type="dxa" w:w="3324"/>
          </w:tcPr>
          <w:p>
            <w:pPr>
              <w:spacing w:line="240" w:lineRule="auto"/>
            </w:pPr>
            <w:r/>
            <w:r>
              <w:rPr>
                <w:rFonts w:ascii="Times New Roman" w:hAnsi="Times New Roman"/>
                <w:sz w:val="20"/>
              </w:rPr>
              <w:t>Methods §2.2–2.4; Supplementary Materials</w:t>
            </w:r>
          </w:p>
        </w:tc>
      </w:tr>
      <w:tr>
        <w:tc>
          <w:tcPr>
            <w:tcW w:type="dxa" w:w="3324"/>
          </w:tcPr>
          <w:p>
            <w:pPr>
              <w:spacing w:line="240" w:lineRule="auto"/>
            </w:pPr>
            <w:r/>
            <w:r>
              <w:rPr>
                <w:rFonts w:ascii="Times New Roman" w:hAnsi="Times New Roman"/>
                <w:sz w:val="20"/>
              </w:rPr>
              <w:t>9</w:t>
            </w:r>
          </w:p>
        </w:tc>
        <w:tc>
          <w:tcPr>
            <w:tcW w:type="dxa" w:w="3324"/>
          </w:tcPr>
          <w:p>
            <w:pPr>
              <w:spacing w:line="240" w:lineRule="auto"/>
            </w:pPr>
            <w:r/>
            <w:r>
              <w:rPr>
                <w:rFonts w:ascii="Times New Roman" w:hAnsi="Times New Roman"/>
                <w:sz w:val="20"/>
              </w:rPr>
              <w:t>Bias addressed</w:t>
            </w:r>
          </w:p>
        </w:tc>
        <w:tc>
          <w:tcPr>
            <w:tcW w:type="dxa" w:w="3324"/>
          </w:tcPr>
          <w:p>
            <w:pPr>
              <w:spacing w:line="240" w:lineRule="auto"/>
            </w:pPr>
            <w:r/>
            <w:r>
              <w:rPr>
                <w:rFonts w:ascii="Times New Roman" w:hAnsi="Times New Roman"/>
                <w:sz w:val="20"/>
              </w:rPr>
              <w:t>Methods §2.4–2.5; Discussion §4.2</w:t>
            </w:r>
          </w:p>
        </w:tc>
      </w:tr>
      <w:tr>
        <w:tc>
          <w:tcPr>
            <w:tcW w:type="dxa" w:w="3324"/>
          </w:tcPr>
          <w:p>
            <w:pPr>
              <w:spacing w:line="240" w:lineRule="auto"/>
            </w:pPr>
            <w:r/>
            <w:r>
              <w:rPr>
                <w:rFonts w:ascii="Times New Roman" w:hAnsi="Times New Roman"/>
                <w:sz w:val="20"/>
              </w:rPr>
              <w:t>10</w:t>
            </w:r>
          </w:p>
        </w:tc>
        <w:tc>
          <w:tcPr>
            <w:tcW w:type="dxa" w:w="3324"/>
          </w:tcPr>
          <w:p>
            <w:pPr>
              <w:spacing w:line="240" w:lineRule="auto"/>
            </w:pPr>
            <w:r/>
            <w:r>
              <w:rPr>
                <w:rFonts w:ascii="Times New Roman" w:hAnsi="Times New Roman"/>
                <w:sz w:val="20"/>
              </w:rPr>
              <w:t>Study size</w:t>
            </w:r>
          </w:p>
        </w:tc>
        <w:tc>
          <w:tcPr>
            <w:tcW w:type="dxa" w:w="3324"/>
          </w:tcPr>
          <w:p>
            <w:pPr>
              <w:spacing w:line="240" w:lineRule="auto"/>
            </w:pPr>
            <w:r/>
            <w:r>
              <w:rPr>
                <w:rFonts w:ascii="Times New Roman" w:hAnsi="Times New Roman"/>
                <w:sz w:val="20"/>
              </w:rPr>
              <w:t>Methods §2.1; Results §3.1</w:t>
            </w:r>
          </w:p>
        </w:tc>
      </w:tr>
      <w:tr>
        <w:tc>
          <w:tcPr>
            <w:tcW w:type="dxa" w:w="3324"/>
          </w:tcPr>
          <w:p>
            <w:pPr>
              <w:spacing w:line="240" w:lineRule="auto"/>
            </w:pPr>
            <w:r/>
            <w:r>
              <w:rPr>
                <w:rFonts w:ascii="Times New Roman" w:hAnsi="Times New Roman"/>
                <w:sz w:val="20"/>
              </w:rPr>
              <w:t>11</w:t>
            </w:r>
          </w:p>
        </w:tc>
        <w:tc>
          <w:tcPr>
            <w:tcW w:type="dxa" w:w="3324"/>
          </w:tcPr>
          <w:p>
            <w:pPr>
              <w:spacing w:line="240" w:lineRule="auto"/>
            </w:pPr>
            <w:r/>
            <w:r>
              <w:rPr>
                <w:rFonts w:ascii="Times New Roman" w:hAnsi="Times New Roman"/>
                <w:sz w:val="20"/>
              </w:rPr>
              <w:t>Quantitative variables handling</w:t>
            </w:r>
          </w:p>
        </w:tc>
        <w:tc>
          <w:tcPr>
            <w:tcW w:type="dxa" w:w="3324"/>
          </w:tcPr>
          <w:p>
            <w:pPr>
              <w:spacing w:line="240" w:lineRule="auto"/>
            </w:pPr>
            <w:r/>
            <w:r>
              <w:rPr>
                <w:rFonts w:ascii="Times New Roman" w:hAnsi="Times New Roman"/>
                <w:sz w:val="20"/>
              </w:rPr>
              <w:t>Methods §2.2 (categorical), §2.4 (calendar time spline)</w:t>
            </w:r>
          </w:p>
        </w:tc>
      </w:tr>
      <w:tr>
        <w:tc>
          <w:tcPr>
            <w:tcW w:type="dxa" w:w="3324"/>
          </w:tcPr>
          <w:p>
            <w:pPr>
              <w:spacing w:line="240" w:lineRule="auto"/>
            </w:pPr>
            <w:r/>
            <w:r>
              <w:rPr>
                <w:rFonts w:ascii="Times New Roman" w:hAnsi="Times New Roman"/>
                <w:sz w:val="20"/>
              </w:rPr>
              <w:t>12(a)</w:t>
            </w:r>
          </w:p>
        </w:tc>
        <w:tc>
          <w:tcPr>
            <w:tcW w:type="dxa" w:w="3324"/>
          </w:tcPr>
          <w:p>
            <w:pPr>
              <w:spacing w:line="240" w:lineRule="auto"/>
            </w:pPr>
            <w:r/>
            <w:r>
              <w:rPr>
                <w:rFonts w:ascii="Times New Roman" w:hAnsi="Times New Roman"/>
                <w:sz w:val="20"/>
              </w:rPr>
              <w:t>Statistical methods (confounding control)</w:t>
            </w:r>
          </w:p>
        </w:tc>
        <w:tc>
          <w:tcPr>
            <w:tcW w:type="dxa" w:w="3324"/>
          </w:tcPr>
          <w:p>
            <w:pPr>
              <w:spacing w:line="240" w:lineRule="auto"/>
            </w:pPr>
            <w:r/>
            <w:r>
              <w:rPr>
                <w:rFonts w:ascii="Times New Roman" w:hAnsi="Times New Roman"/>
                <w:sz w:val="20"/>
              </w:rPr>
              <w:t>Methods §2.5</w:t>
            </w:r>
          </w:p>
        </w:tc>
      </w:tr>
      <w:tr>
        <w:tc>
          <w:tcPr>
            <w:tcW w:type="dxa" w:w="3324"/>
          </w:tcPr>
          <w:p>
            <w:pPr>
              <w:spacing w:line="240" w:lineRule="auto"/>
            </w:pPr>
            <w:r/>
            <w:r>
              <w:rPr>
                <w:rFonts w:ascii="Times New Roman" w:hAnsi="Times New Roman"/>
                <w:sz w:val="20"/>
              </w:rPr>
              <w:t>12(b)</w:t>
            </w:r>
          </w:p>
        </w:tc>
        <w:tc>
          <w:tcPr>
            <w:tcW w:type="dxa" w:w="3324"/>
          </w:tcPr>
          <w:p>
            <w:pPr>
              <w:spacing w:line="240" w:lineRule="auto"/>
            </w:pPr>
            <w:r/>
            <w:r>
              <w:rPr>
                <w:rFonts w:ascii="Times New Roman" w:hAnsi="Times New Roman"/>
                <w:sz w:val="20"/>
              </w:rPr>
              <w:t>Subgroups and interactions</w:t>
            </w:r>
          </w:p>
        </w:tc>
        <w:tc>
          <w:tcPr>
            <w:tcW w:type="dxa" w:w="3324"/>
          </w:tcPr>
          <w:p>
            <w:pPr>
              <w:spacing w:line="240" w:lineRule="auto"/>
            </w:pPr>
            <w:r/>
            <w:r>
              <w:rPr>
                <w:rFonts w:ascii="Times New Roman" w:hAnsi="Times New Roman"/>
                <w:sz w:val="20"/>
              </w:rPr>
              <w:t>Methods §2.5; Table 3; Figure 4</w:t>
            </w:r>
          </w:p>
        </w:tc>
      </w:tr>
      <w:tr>
        <w:tc>
          <w:tcPr>
            <w:tcW w:type="dxa" w:w="3324"/>
          </w:tcPr>
          <w:p>
            <w:pPr>
              <w:spacing w:line="240" w:lineRule="auto"/>
            </w:pPr>
            <w:r/>
            <w:r>
              <w:rPr>
                <w:rFonts w:ascii="Times New Roman" w:hAnsi="Times New Roman"/>
                <w:sz w:val="20"/>
              </w:rPr>
              <w:t>12(c)</w:t>
            </w:r>
          </w:p>
        </w:tc>
        <w:tc>
          <w:tcPr>
            <w:tcW w:type="dxa" w:w="3324"/>
          </w:tcPr>
          <w:p>
            <w:pPr>
              <w:spacing w:line="240" w:lineRule="auto"/>
            </w:pPr>
            <w:r/>
            <w:r>
              <w:rPr>
                <w:rFonts w:ascii="Times New Roman" w:hAnsi="Times New Roman"/>
                <w:sz w:val="20"/>
              </w:rPr>
              <w:t>Missing data handling</w:t>
            </w:r>
          </w:p>
        </w:tc>
        <w:tc>
          <w:tcPr>
            <w:tcW w:type="dxa" w:w="3324"/>
          </w:tcPr>
          <w:p>
            <w:pPr>
              <w:spacing w:line="240" w:lineRule="auto"/>
            </w:pPr>
            <w:r/>
            <w:r>
              <w:rPr>
                <w:rFonts w:ascii="Times New Roman" w:hAnsi="Times New Roman"/>
                <w:sz w:val="20"/>
              </w:rPr>
              <w:t>Methods §2.1; Supplementary Materials S2</w:t>
            </w:r>
          </w:p>
        </w:tc>
      </w:tr>
      <w:tr>
        <w:tc>
          <w:tcPr>
            <w:tcW w:type="dxa" w:w="3324"/>
          </w:tcPr>
          <w:p>
            <w:pPr>
              <w:spacing w:line="240" w:lineRule="auto"/>
            </w:pPr>
            <w:r/>
            <w:r>
              <w:rPr>
                <w:rFonts w:ascii="Times New Roman" w:hAnsi="Times New Roman"/>
                <w:sz w:val="20"/>
              </w:rPr>
              <w:t>12(d)</w:t>
            </w:r>
          </w:p>
        </w:tc>
        <w:tc>
          <w:tcPr>
            <w:tcW w:type="dxa" w:w="3324"/>
          </w:tcPr>
          <w:p>
            <w:pPr>
              <w:spacing w:line="240" w:lineRule="auto"/>
            </w:pPr>
            <w:r/>
            <w:r>
              <w:rPr>
                <w:rFonts w:ascii="Times New Roman" w:hAnsi="Times New Roman"/>
                <w:sz w:val="20"/>
              </w:rPr>
              <w:t>Loss to follow-up</w:t>
            </w:r>
          </w:p>
        </w:tc>
        <w:tc>
          <w:tcPr>
            <w:tcW w:type="dxa" w:w="3324"/>
          </w:tcPr>
          <w:p>
            <w:pPr>
              <w:spacing w:line="240" w:lineRule="auto"/>
            </w:pPr>
            <w:r/>
            <w:r>
              <w:rPr>
                <w:rFonts w:ascii="Times New Roman" w:hAnsi="Times New Roman"/>
                <w:sz w:val="20"/>
              </w:rPr>
              <w:t>Not applicable (single inpatient episode)</w:t>
            </w:r>
          </w:p>
        </w:tc>
      </w:tr>
      <w:tr>
        <w:tc>
          <w:tcPr>
            <w:tcW w:type="dxa" w:w="3324"/>
          </w:tcPr>
          <w:p>
            <w:pPr>
              <w:spacing w:line="240" w:lineRule="auto"/>
            </w:pPr>
            <w:r/>
            <w:r>
              <w:rPr>
                <w:rFonts w:ascii="Times New Roman" w:hAnsi="Times New Roman"/>
                <w:sz w:val="20"/>
              </w:rPr>
              <w:t>12(e)</w:t>
            </w:r>
          </w:p>
        </w:tc>
        <w:tc>
          <w:tcPr>
            <w:tcW w:type="dxa" w:w="3324"/>
          </w:tcPr>
          <w:p>
            <w:pPr>
              <w:spacing w:line="240" w:lineRule="auto"/>
            </w:pPr>
            <w:r/>
            <w:r>
              <w:rPr>
                <w:rFonts w:ascii="Times New Roman" w:hAnsi="Times New Roman"/>
                <w:sz w:val="20"/>
              </w:rPr>
              <w:t>Sensitivity analyses</w:t>
            </w:r>
          </w:p>
        </w:tc>
        <w:tc>
          <w:tcPr>
            <w:tcW w:type="dxa" w:w="3324"/>
          </w:tcPr>
          <w:p>
            <w:pPr>
              <w:spacing w:line="240" w:lineRule="auto"/>
            </w:pPr>
            <w:r/>
            <w:r>
              <w:rPr>
                <w:rFonts w:ascii="Times New Roman" w:hAnsi="Times New Roman"/>
                <w:sz w:val="20"/>
              </w:rPr>
              <w:t>Methods §2.5; Supplementary Tables S1–S3</w:t>
            </w:r>
          </w:p>
        </w:tc>
      </w:tr>
      <w:tr>
        <w:tc>
          <w:tcPr>
            <w:tcW w:type="dxa" w:w="3324"/>
          </w:tcPr>
          <w:p>
            <w:pPr>
              <w:spacing w:line="240" w:lineRule="auto"/>
            </w:pPr>
            <w:r/>
            <w:r>
              <w:rPr>
                <w:rFonts w:ascii="Times New Roman" w:hAnsi="Times New Roman"/>
                <w:sz w:val="20"/>
              </w:rPr>
              <w:t>13(a)</w:t>
            </w:r>
          </w:p>
        </w:tc>
        <w:tc>
          <w:tcPr>
            <w:tcW w:type="dxa" w:w="3324"/>
          </w:tcPr>
          <w:p>
            <w:pPr>
              <w:spacing w:line="240" w:lineRule="auto"/>
            </w:pPr>
            <w:r/>
            <w:r>
              <w:rPr>
                <w:rFonts w:ascii="Times New Roman" w:hAnsi="Times New Roman"/>
                <w:sz w:val="20"/>
              </w:rPr>
              <w:t>Numbers at each stage</w:t>
            </w:r>
          </w:p>
        </w:tc>
        <w:tc>
          <w:tcPr>
            <w:tcW w:type="dxa" w:w="3324"/>
          </w:tcPr>
          <w:p>
            <w:pPr>
              <w:spacing w:line="240" w:lineRule="auto"/>
            </w:pPr>
            <w:r/>
            <w:r>
              <w:rPr>
                <w:rFonts w:ascii="Times New Roman" w:hAnsi="Times New Roman"/>
                <w:sz w:val="20"/>
              </w:rPr>
              <w:t>Results §3.1; Figure 1</w:t>
            </w:r>
          </w:p>
        </w:tc>
      </w:tr>
      <w:tr>
        <w:tc>
          <w:tcPr>
            <w:tcW w:type="dxa" w:w="3324"/>
          </w:tcPr>
          <w:p>
            <w:pPr>
              <w:spacing w:line="240" w:lineRule="auto"/>
            </w:pPr>
            <w:r/>
            <w:r>
              <w:rPr>
                <w:rFonts w:ascii="Times New Roman" w:hAnsi="Times New Roman"/>
                <w:sz w:val="20"/>
              </w:rPr>
              <w:t>13(b)</w:t>
            </w:r>
          </w:p>
        </w:tc>
        <w:tc>
          <w:tcPr>
            <w:tcW w:type="dxa" w:w="3324"/>
          </w:tcPr>
          <w:p>
            <w:pPr>
              <w:spacing w:line="240" w:lineRule="auto"/>
            </w:pPr>
            <w:r/>
            <w:r>
              <w:rPr>
                <w:rFonts w:ascii="Times New Roman" w:hAnsi="Times New Roman"/>
                <w:sz w:val="20"/>
              </w:rPr>
              <w:t>Reasons for non-participation</w:t>
            </w:r>
          </w:p>
        </w:tc>
        <w:tc>
          <w:tcPr>
            <w:tcW w:type="dxa" w:w="3324"/>
          </w:tcPr>
          <w:p>
            <w:pPr>
              <w:spacing w:line="240" w:lineRule="auto"/>
            </w:pPr>
            <w:r/>
            <w:r>
              <w:rPr>
                <w:rFonts w:ascii="Times New Roman" w:hAnsi="Times New Roman"/>
                <w:sz w:val="20"/>
              </w:rPr>
              <w:t>Figure 1; Methods §2.1</w:t>
            </w:r>
          </w:p>
        </w:tc>
      </w:tr>
      <w:tr>
        <w:tc>
          <w:tcPr>
            <w:tcW w:type="dxa" w:w="3324"/>
          </w:tcPr>
          <w:p>
            <w:pPr>
              <w:spacing w:line="240" w:lineRule="auto"/>
            </w:pPr>
            <w:r/>
            <w:r>
              <w:rPr>
                <w:rFonts w:ascii="Times New Roman" w:hAnsi="Times New Roman"/>
                <w:sz w:val="20"/>
              </w:rPr>
              <w:t>13(c)</w:t>
            </w:r>
          </w:p>
        </w:tc>
        <w:tc>
          <w:tcPr>
            <w:tcW w:type="dxa" w:w="3324"/>
          </w:tcPr>
          <w:p>
            <w:pPr>
              <w:spacing w:line="240" w:lineRule="auto"/>
            </w:pPr>
            <w:r/>
            <w:r>
              <w:rPr>
                <w:rFonts w:ascii="Times New Roman" w:hAnsi="Times New Roman"/>
                <w:sz w:val="20"/>
              </w:rPr>
              <w:t>Flow diagram</w:t>
            </w:r>
          </w:p>
        </w:tc>
        <w:tc>
          <w:tcPr>
            <w:tcW w:type="dxa" w:w="3324"/>
          </w:tcPr>
          <w:p>
            <w:pPr>
              <w:spacing w:line="240" w:lineRule="auto"/>
            </w:pPr>
            <w:r/>
            <w:r>
              <w:rPr>
                <w:rFonts w:ascii="Times New Roman" w:hAnsi="Times New Roman"/>
                <w:sz w:val="20"/>
              </w:rPr>
              <w:t>Figure 1</w:t>
            </w:r>
          </w:p>
        </w:tc>
      </w:tr>
      <w:tr>
        <w:tc>
          <w:tcPr>
            <w:tcW w:type="dxa" w:w="3324"/>
          </w:tcPr>
          <w:p>
            <w:pPr>
              <w:spacing w:line="240" w:lineRule="auto"/>
            </w:pPr>
            <w:r/>
            <w:r>
              <w:rPr>
                <w:rFonts w:ascii="Times New Roman" w:hAnsi="Times New Roman"/>
                <w:sz w:val="20"/>
              </w:rPr>
              <w:t>14(a)</w:t>
            </w:r>
          </w:p>
        </w:tc>
        <w:tc>
          <w:tcPr>
            <w:tcW w:type="dxa" w:w="3324"/>
          </w:tcPr>
          <w:p>
            <w:pPr>
              <w:spacing w:line="240" w:lineRule="auto"/>
            </w:pPr>
            <w:r/>
            <w:r>
              <w:rPr>
                <w:rFonts w:ascii="Times New Roman" w:hAnsi="Times New Roman"/>
                <w:sz w:val="20"/>
              </w:rPr>
              <w:t>Participant characteristics</w:t>
            </w:r>
          </w:p>
        </w:tc>
        <w:tc>
          <w:tcPr>
            <w:tcW w:type="dxa" w:w="3324"/>
          </w:tcPr>
          <w:p>
            <w:pPr>
              <w:spacing w:line="240" w:lineRule="auto"/>
            </w:pPr>
            <w:r/>
            <w:r>
              <w:rPr>
                <w:rFonts w:ascii="Times New Roman" w:hAnsi="Times New Roman"/>
                <w:sz w:val="20"/>
              </w:rPr>
              <w:t>Table 1</w:t>
            </w:r>
          </w:p>
        </w:tc>
      </w:tr>
      <w:tr>
        <w:tc>
          <w:tcPr>
            <w:tcW w:type="dxa" w:w="3324"/>
          </w:tcPr>
          <w:p>
            <w:pPr>
              <w:spacing w:line="240" w:lineRule="auto"/>
            </w:pPr>
            <w:r/>
            <w:r>
              <w:rPr>
                <w:rFonts w:ascii="Times New Roman" w:hAnsi="Times New Roman"/>
                <w:sz w:val="20"/>
              </w:rPr>
              <w:t>14(b)</w:t>
            </w:r>
          </w:p>
        </w:tc>
        <w:tc>
          <w:tcPr>
            <w:tcW w:type="dxa" w:w="3324"/>
          </w:tcPr>
          <w:p>
            <w:pPr>
              <w:spacing w:line="240" w:lineRule="auto"/>
            </w:pPr>
            <w:r/>
            <w:r>
              <w:rPr>
                <w:rFonts w:ascii="Times New Roman" w:hAnsi="Times New Roman"/>
                <w:sz w:val="20"/>
              </w:rPr>
              <w:t>Missing-data counts per variable</w:t>
            </w:r>
          </w:p>
        </w:tc>
        <w:tc>
          <w:tcPr>
            <w:tcW w:type="dxa" w:w="3324"/>
          </w:tcPr>
          <w:p>
            <w:pPr>
              <w:spacing w:line="240" w:lineRule="auto"/>
            </w:pPr>
            <w:r/>
            <w:r>
              <w:rPr>
                <w:rFonts w:ascii="Times New Roman" w:hAnsi="Times New Roman"/>
                <w:sz w:val="20"/>
              </w:rPr>
              <w:t>Supplementary Materials S2</w:t>
            </w:r>
          </w:p>
        </w:tc>
      </w:tr>
      <w:tr>
        <w:tc>
          <w:tcPr>
            <w:tcW w:type="dxa" w:w="3324"/>
          </w:tcPr>
          <w:p>
            <w:pPr>
              <w:spacing w:line="240" w:lineRule="auto"/>
            </w:pPr>
            <w:r/>
            <w:r>
              <w:rPr>
                <w:rFonts w:ascii="Times New Roman" w:hAnsi="Times New Roman"/>
                <w:sz w:val="20"/>
              </w:rPr>
              <w:t>14(c)</w:t>
            </w:r>
          </w:p>
        </w:tc>
        <w:tc>
          <w:tcPr>
            <w:tcW w:type="dxa" w:w="3324"/>
          </w:tcPr>
          <w:p>
            <w:pPr>
              <w:spacing w:line="240" w:lineRule="auto"/>
            </w:pPr>
            <w:r/>
            <w:r>
              <w:rPr>
                <w:rFonts w:ascii="Times New Roman" w:hAnsi="Times New Roman"/>
                <w:sz w:val="20"/>
              </w:rPr>
              <w:t>Follow-up time</w:t>
            </w:r>
          </w:p>
        </w:tc>
        <w:tc>
          <w:tcPr>
            <w:tcW w:type="dxa" w:w="3324"/>
          </w:tcPr>
          <w:p>
            <w:pPr>
              <w:spacing w:line="240" w:lineRule="auto"/>
            </w:pPr>
            <w:r/>
            <w:r>
              <w:rPr>
                <w:rFonts w:ascii="Times New Roman" w:hAnsi="Times New Roman"/>
                <w:sz w:val="20"/>
              </w:rPr>
              <w:t>Not applicable</w:t>
            </w:r>
          </w:p>
        </w:tc>
      </w:tr>
      <w:tr>
        <w:tc>
          <w:tcPr>
            <w:tcW w:type="dxa" w:w="3324"/>
          </w:tcPr>
          <w:p>
            <w:pPr>
              <w:spacing w:line="240" w:lineRule="auto"/>
            </w:pPr>
            <w:r/>
            <w:r>
              <w:rPr>
                <w:rFonts w:ascii="Times New Roman" w:hAnsi="Times New Roman"/>
                <w:sz w:val="20"/>
              </w:rPr>
              <w:t>15</w:t>
            </w:r>
          </w:p>
        </w:tc>
        <w:tc>
          <w:tcPr>
            <w:tcW w:type="dxa" w:w="3324"/>
          </w:tcPr>
          <w:p>
            <w:pPr>
              <w:spacing w:line="240" w:lineRule="auto"/>
            </w:pPr>
            <w:r/>
            <w:r>
              <w:rPr>
                <w:rFonts w:ascii="Times New Roman" w:hAnsi="Times New Roman"/>
                <w:sz w:val="20"/>
              </w:rPr>
              <w:t>Outcome events</w:t>
            </w:r>
          </w:p>
        </w:tc>
        <w:tc>
          <w:tcPr>
            <w:tcW w:type="dxa" w:w="3324"/>
          </w:tcPr>
          <w:p>
            <w:pPr>
              <w:spacing w:line="240" w:lineRule="auto"/>
            </w:pPr>
            <w:r/>
            <w:r>
              <w:rPr>
                <w:rFonts w:ascii="Times New Roman" w:hAnsi="Times New Roman"/>
                <w:sz w:val="20"/>
              </w:rPr>
              <w:t>Results §3.3–3.4; Tables 2–3</w:t>
            </w:r>
          </w:p>
        </w:tc>
      </w:tr>
      <w:tr>
        <w:tc>
          <w:tcPr>
            <w:tcW w:type="dxa" w:w="3324"/>
          </w:tcPr>
          <w:p>
            <w:pPr>
              <w:spacing w:line="240" w:lineRule="auto"/>
            </w:pPr>
            <w:r/>
            <w:r>
              <w:rPr>
                <w:rFonts w:ascii="Times New Roman" w:hAnsi="Times New Roman"/>
                <w:sz w:val="20"/>
              </w:rPr>
              <w:t>16(a)</w:t>
            </w:r>
          </w:p>
        </w:tc>
        <w:tc>
          <w:tcPr>
            <w:tcW w:type="dxa" w:w="3324"/>
          </w:tcPr>
          <w:p>
            <w:pPr>
              <w:spacing w:line="240" w:lineRule="auto"/>
            </w:pPr>
            <w:r/>
            <w:r>
              <w:rPr>
                <w:rFonts w:ascii="Times New Roman" w:hAnsi="Times New Roman"/>
                <w:sz w:val="20"/>
              </w:rPr>
              <w:t>Unadjusted and adjusted estimates with precision</w:t>
            </w:r>
          </w:p>
        </w:tc>
        <w:tc>
          <w:tcPr>
            <w:tcW w:type="dxa" w:w="3324"/>
          </w:tcPr>
          <w:p>
            <w:pPr>
              <w:spacing w:line="240" w:lineRule="auto"/>
            </w:pPr>
            <w:r/>
            <w:r>
              <w:rPr>
                <w:rFonts w:ascii="Times New Roman" w:hAnsi="Times New Roman"/>
                <w:sz w:val="20"/>
              </w:rPr>
              <w:t>Tables 2–3; Figure 3</w:t>
            </w:r>
          </w:p>
        </w:tc>
      </w:tr>
      <w:tr>
        <w:tc>
          <w:tcPr>
            <w:tcW w:type="dxa" w:w="3324"/>
          </w:tcPr>
          <w:p>
            <w:pPr>
              <w:spacing w:line="240" w:lineRule="auto"/>
            </w:pPr>
            <w:r/>
            <w:r>
              <w:rPr>
                <w:rFonts w:ascii="Times New Roman" w:hAnsi="Times New Roman"/>
                <w:sz w:val="20"/>
              </w:rPr>
              <w:t>16(b)</w:t>
            </w:r>
          </w:p>
        </w:tc>
        <w:tc>
          <w:tcPr>
            <w:tcW w:type="dxa" w:w="3324"/>
          </w:tcPr>
          <w:p>
            <w:pPr>
              <w:spacing w:line="240" w:lineRule="auto"/>
            </w:pPr>
            <w:r/>
            <w:r>
              <w:rPr>
                <w:rFonts w:ascii="Times New Roman" w:hAnsi="Times New Roman"/>
                <w:sz w:val="20"/>
              </w:rPr>
              <w:t>Continuous variable category boundaries</w:t>
            </w:r>
          </w:p>
        </w:tc>
        <w:tc>
          <w:tcPr>
            <w:tcW w:type="dxa" w:w="3324"/>
          </w:tcPr>
          <w:p>
            <w:pPr>
              <w:spacing w:line="240" w:lineRule="auto"/>
            </w:pPr>
            <w:r/>
            <w:r>
              <w:rPr>
                <w:rFonts w:ascii="Times New Roman" w:hAnsi="Times New Roman"/>
                <w:sz w:val="20"/>
              </w:rPr>
              <w:t>Methods §2.2; Supplementary Table S1</w:t>
            </w:r>
          </w:p>
        </w:tc>
      </w:tr>
      <w:tr>
        <w:tc>
          <w:tcPr>
            <w:tcW w:type="dxa" w:w="3324"/>
          </w:tcPr>
          <w:p>
            <w:pPr>
              <w:spacing w:line="240" w:lineRule="auto"/>
            </w:pPr>
            <w:r/>
            <w:r>
              <w:rPr>
                <w:rFonts w:ascii="Times New Roman" w:hAnsi="Times New Roman"/>
                <w:sz w:val="20"/>
              </w:rPr>
              <w:t>16(c)</w:t>
            </w:r>
          </w:p>
        </w:tc>
        <w:tc>
          <w:tcPr>
            <w:tcW w:type="dxa" w:w="3324"/>
          </w:tcPr>
          <w:p>
            <w:pPr>
              <w:spacing w:line="240" w:lineRule="auto"/>
            </w:pPr>
            <w:r/>
            <w:r>
              <w:rPr>
                <w:rFonts w:ascii="Times New Roman" w:hAnsi="Times New Roman"/>
                <w:sz w:val="20"/>
              </w:rPr>
              <w:t>Translation of relative to absolute risk</w:t>
            </w:r>
          </w:p>
        </w:tc>
        <w:tc>
          <w:tcPr>
            <w:tcW w:type="dxa" w:w="3324"/>
          </w:tcPr>
          <w:p>
            <w:pPr>
              <w:spacing w:line="240" w:lineRule="auto"/>
            </w:pPr>
            <w:r/>
            <w:r>
              <w:rPr>
                <w:rFonts w:ascii="Times New Roman" w:hAnsi="Times New Roman"/>
                <w:sz w:val="20"/>
              </w:rPr>
              <w:t>Results §3.3 (absolute event rates 22.7% vs 20.7%)</w:t>
            </w:r>
          </w:p>
        </w:tc>
      </w:tr>
      <w:tr>
        <w:tc>
          <w:tcPr>
            <w:tcW w:type="dxa" w:w="3324"/>
          </w:tcPr>
          <w:p>
            <w:pPr>
              <w:spacing w:line="240" w:lineRule="auto"/>
            </w:pPr>
            <w:r/>
            <w:r>
              <w:rPr>
                <w:rFonts w:ascii="Times New Roman" w:hAnsi="Times New Roman"/>
                <w:sz w:val="20"/>
              </w:rPr>
              <w:t>17</w:t>
            </w:r>
          </w:p>
        </w:tc>
        <w:tc>
          <w:tcPr>
            <w:tcW w:type="dxa" w:w="3324"/>
          </w:tcPr>
          <w:p>
            <w:pPr>
              <w:spacing w:line="240" w:lineRule="auto"/>
            </w:pPr>
            <w:r/>
            <w:r>
              <w:rPr>
                <w:rFonts w:ascii="Times New Roman" w:hAnsi="Times New Roman"/>
                <w:sz w:val="20"/>
              </w:rPr>
              <w:t>Other analyses (sensitivity, subgroups, interactions)</w:t>
            </w:r>
          </w:p>
        </w:tc>
        <w:tc>
          <w:tcPr>
            <w:tcW w:type="dxa" w:w="3324"/>
          </w:tcPr>
          <w:p>
            <w:pPr>
              <w:spacing w:line="240" w:lineRule="auto"/>
            </w:pPr>
            <w:r/>
            <w:r>
              <w:rPr>
                <w:rFonts w:ascii="Times New Roman" w:hAnsi="Times New Roman"/>
                <w:sz w:val="20"/>
              </w:rPr>
              <w:t>Results §3.5–3.6; Supplementary Tables S1–S3</w:t>
            </w:r>
          </w:p>
        </w:tc>
      </w:tr>
      <w:tr>
        <w:tc>
          <w:tcPr>
            <w:tcW w:type="dxa" w:w="3324"/>
          </w:tcPr>
          <w:p>
            <w:pPr>
              <w:spacing w:line="240" w:lineRule="auto"/>
            </w:pPr>
            <w:r/>
            <w:r>
              <w:rPr>
                <w:rFonts w:ascii="Times New Roman" w:hAnsi="Times New Roman"/>
                <w:sz w:val="20"/>
              </w:rPr>
              <w:t>18</w:t>
            </w:r>
          </w:p>
        </w:tc>
        <w:tc>
          <w:tcPr>
            <w:tcW w:type="dxa" w:w="3324"/>
          </w:tcPr>
          <w:p>
            <w:pPr>
              <w:spacing w:line="240" w:lineRule="auto"/>
            </w:pPr>
            <w:r/>
            <w:r>
              <w:rPr>
                <w:rFonts w:ascii="Times New Roman" w:hAnsi="Times New Roman"/>
                <w:sz w:val="20"/>
              </w:rPr>
              <w:t>Key results summary</w:t>
            </w:r>
          </w:p>
        </w:tc>
        <w:tc>
          <w:tcPr>
            <w:tcW w:type="dxa" w:w="3324"/>
          </w:tcPr>
          <w:p>
            <w:pPr>
              <w:spacing w:line="240" w:lineRule="auto"/>
            </w:pPr>
            <w:r/>
            <w:r>
              <w:rPr>
                <w:rFonts w:ascii="Times New Roman" w:hAnsi="Times New Roman"/>
                <w:sz w:val="20"/>
              </w:rPr>
              <w:t>Discussion §4.1</w:t>
            </w:r>
          </w:p>
        </w:tc>
      </w:tr>
      <w:tr>
        <w:tc>
          <w:tcPr>
            <w:tcW w:type="dxa" w:w="3324"/>
          </w:tcPr>
          <w:p>
            <w:pPr>
              <w:spacing w:line="240" w:lineRule="auto"/>
            </w:pPr>
            <w:r/>
            <w:r>
              <w:rPr>
                <w:rFonts w:ascii="Times New Roman" w:hAnsi="Times New Roman"/>
                <w:sz w:val="20"/>
              </w:rPr>
              <w:t>19</w:t>
            </w:r>
          </w:p>
        </w:tc>
        <w:tc>
          <w:tcPr>
            <w:tcW w:type="dxa" w:w="3324"/>
          </w:tcPr>
          <w:p>
            <w:pPr>
              <w:spacing w:line="240" w:lineRule="auto"/>
            </w:pPr>
            <w:r/>
            <w:r>
              <w:rPr>
                <w:rFonts w:ascii="Times New Roman" w:hAnsi="Times New Roman"/>
                <w:sz w:val="20"/>
              </w:rPr>
              <w:t>Limitations</w:t>
            </w:r>
          </w:p>
        </w:tc>
        <w:tc>
          <w:tcPr>
            <w:tcW w:type="dxa" w:w="3324"/>
          </w:tcPr>
          <w:p>
            <w:pPr>
              <w:spacing w:line="240" w:lineRule="auto"/>
            </w:pPr>
            <w:r/>
            <w:r>
              <w:rPr>
                <w:rFonts w:ascii="Times New Roman" w:hAnsi="Times New Roman"/>
                <w:sz w:val="20"/>
              </w:rPr>
              <w:t>Discussion §4.2</w:t>
            </w:r>
          </w:p>
        </w:tc>
      </w:tr>
      <w:tr>
        <w:tc>
          <w:tcPr>
            <w:tcW w:type="dxa" w:w="3324"/>
          </w:tcPr>
          <w:p>
            <w:pPr>
              <w:spacing w:line="240" w:lineRule="auto"/>
            </w:pPr>
            <w:r/>
            <w:r>
              <w:rPr>
                <w:rFonts w:ascii="Times New Roman" w:hAnsi="Times New Roman"/>
                <w:sz w:val="20"/>
              </w:rPr>
              <w:t>20</w:t>
            </w:r>
          </w:p>
        </w:tc>
        <w:tc>
          <w:tcPr>
            <w:tcW w:type="dxa" w:w="3324"/>
          </w:tcPr>
          <w:p>
            <w:pPr>
              <w:spacing w:line="240" w:lineRule="auto"/>
            </w:pPr>
            <w:r/>
            <w:r>
              <w:rPr>
                <w:rFonts w:ascii="Times New Roman" w:hAnsi="Times New Roman"/>
                <w:sz w:val="20"/>
              </w:rPr>
              <w:t>Cautious interpretation</w:t>
            </w:r>
          </w:p>
        </w:tc>
        <w:tc>
          <w:tcPr>
            <w:tcW w:type="dxa" w:w="3324"/>
          </w:tcPr>
          <w:p>
            <w:pPr>
              <w:spacing w:line="240" w:lineRule="auto"/>
            </w:pPr>
            <w:r/>
            <w:r>
              <w:rPr>
                <w:rFonts w:ascii="Times New Roman" w:hAnsi="Times New Roman"/>
                <w:sz w:val="20"/>
              </w:rPr>
              <w:t>Discussion §4.3</w:t>
            </w:r>
          </w:p>
        </w:tc>
      </w:tr>
      <w:tr>
        <w:tc>
          <w:tcPr>
            <w:tcW w:type="dxa" w:w="3324"/>
          </w:tcPr>
          <w:p>
            <w:pPr>
              <w:spacing w:line="240" w:lineRule="auto"/>
            </w:pPr>
            <w:r/>
            <w:r>
              <w:rPr>
                <w:rFonts w:ascii="Times New Roman" w:hAnsi="Times New Roman"/>
                <w:sz w:val="20"/>
              </w:rPr>
              <w:t>21</w:t>
            </w:r>
          </w:p>
        </w:tc>
        <w:tc>
          <w:tcPr>
            <w:tcW w:type="dxa" w:w="3324"/>
          </w:tcPr>
          <w:p>
            <w:pPr>
              <w:spacing w:line="240" w:lineRule="auto"/>
            </w:pPr>
            <w:r/>
            <w:r>
              <w:rPr>
                <w:rFonts w:ascii="Times New Roman" w:hAnsi="Times New Roman"/>
                <w:sz w:val="20"/>
              </w:rPr>
              <w:t>Generalisability</w:t>
            </w:r>
          </w:p>
        </w:tc>
        <w:tc>
          <w:tcPr>
            <w:tcW w:type="dxa" w:w="3324"/>
          </w:tcPr>
          <w:p>
            <w:pPr>
              <w:spacing w:line="240" w:lineRule="auto"/>
            </w:pPr>
            <w:r/>
            <w:r>
              <w:rPr>
                <w:rFonts w:ascii="Times New Roman" w:hAnsi="Times New Roman"/>
                <w:sz w:val="20"/>
              </w:rPr>
              <w:t>Discussion §4.2; §4.3</w:t>
            </w:r>
          </w:p>
        </w:tc>
      </w:tr>
      <w:tr>
        <w:tc>
          <w:tcPr>
            <w:tcW w:type="dxa" w:w="3324"/>
          </w:tcPr>
          <w:p>
            <w:pPr>
              <w:spacing w:line="240" w:lineRule="auto"/>
            </w:pPr>
            <w:r/>
            <w:r>
              <w:rPr>
                <w:rFonts w:ascii="Times New Roman" w:hAnsi="Times New Roman"/>
                <w:sz w:val="20"/>
              </w:rPr>
              <w:t>22</w:t>
            </w:r>
          </w:p>
        </w:tc>
        <w:tc>
          <w:tcPr>
            <w:tcW w:type="dxa" w:w="3324"/>
          </w:tcPr>
          <w:p>
            <w:pPr>
              <w:spacing w:line="240" w:lineRule="auto"/>
            </w:pPr>
            <w:r/>
            <w:r>
              <w:rPr>
                <w:rFonts w:ascii="Times New Roman" w:hAnsi="Times New Roman"/>
                <w:sz w:val="20"/>
              </w:rPr>
              <w:t>Funding and role of funders</w:t>
            </w:r>
          </w:p>
        </w:tc>
        <w:tc>
          <w:tcPr>
            <w:tcW w:type="dxa" w:w="3324"/>
          </w:tcPr>
          <w:p>
            <w:pPr>
              <w:spacing w:line="240" w:lineRule="auto"/>
            </w:pPr>
            <w:r/>
            <w:r>
              <w:rPr>
                <w:rFonts w:ascii="Times New Roman" w:hAnsi="Times New Roman"/>
                <w:sz w:val="20"/>
              </w:rPr>
              <w:t>Title page</w:t>
            </w:r>
          </w:p>
        </w:tc>
      </w:tr>
    </w:tbl>
    <w:p>
      <w:r>
        <w:br w:type="page"/>
      </w:r>
    </w:p>
    <w:p>
      <w:pPr>
        <w:spacing w:before="280" w:after="120" w:line="360" w:lineRule="auto"/>
      </w:pPr>
      <w:r>
        <w:rPr>
          <w:rFonts w:ascii="Times New Roman" w:hAnsi="Times New Roman"/>
          <w:b/>
          <w:sz w:val="28"/>
        </w:rPr>
        <w:t>Supplementary File S2. Data dictionary and quality control</w:t>
      </w:r>
    </w:p>
    <w:p>
      <w:pPr>
        <w:spacing w:after="120" w:line="360" w:lineRule="auto"/>
        <w:jc w:val="both"/>
      </w:pPr>
      <w:r>
        <w:rPr>
          <w:rFonts w:ascii="Times New Roman" w:hAnsi="Times New Roman"/>
          <w:b w:val="0"/>
          <w:i w:val="0"/>
          <w:sz w:val="22"/>
        </w:rPr>
        <w:t>Variable definitions (analysis schema, English-translated).</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spacing w:line="240" w:lineRule="auto"/>
            </w:pPr>
            <w:r/>
            <w:r>
              <w:rPr>
                <w:rFonts w:ascii="Times New Roman" w:hAnsi="Times New Roman"/>
                <w:b/>
                <w:sz w:val="20"/>
              </w:rPr>
              <w:t>Variable</w:t>
            </w:r>
          </w:p>
        </w:tc>
        <w:tc>
          <w:tcPr>
            <w:tcW w:type="dxa" w:w="2493"/>
          </w:tcPr>
          <w:p>
            <w:pPr>
              <w:spacing w:line="240" w:lineRule="auto"/>
            </w:pPr>
            <w:r/>
            <w:r>
              <w:rPr>
                <w:rFonts w:ascii="Times New Roman" w:hAnsi="Times New Roman"/>
                <w:b/>
                <w:sz w:val="20"/>
              </w:rPr>
              <w:t>Definition</w:t>
            </w:r>
          </w:p>
        </w:tc>
        <w:tc>
          <w:tcPr>
            <w:tcW w:type="dxa" w:w="2493"/>
          </w:tcPr>
          <w:p>
            <w:pPr>
              <w:spacing w:line="240" w:lineRule="auto"/>
            </w:pPr>
            <w:r/>
            <w:r>
              <w:rPr>
                <w:rFonts w:ascii="Times New Roman" w:hAnsi="Times New Roman"/>
                <w:b/>
                <w:sz w:val="20"/>
              </w:rPr>
              <w:t>Type</w:t>
            </w:r>
          </w:p>
        </w:tc>
        <w:tc>
          <w:tcPr>
            <w:tcW w:type="dxa" w:w="2493"/>
          </w:tcPr>
          <w:p>
            <w:pPr>
              <w:spacing w:line="240" w:lineRule="auto"/>
            </w:pPr>
            <w:r/>
            <w:r>
              <w:rPr>
                <w:rFonts w:ascii="Times New Roman" w:hAnsi="Times New Roman"/>
                <w:b/>
                <w:sz w:val="20"/>
              </w:rPr>
              <w:t>Source</w:t>
            </w:r>
          </w:p>
        </w:tc>
      </w:tr>
      <w:tr>
        <w:tc>
          <w:tcPr>
            <w:tcW w:type="dxa" w:w="2493"/>
          </w:tcPr>
          <w:p>
            <w:pPr>
              <w:spacing w:line="240" w:lineRule="auto"/>
            </w:pPr>
            <w:r/>
            <w:r>
              <w:rPr>
                <w:rFonts w:ascii="Times New Roman" w:hAnsi="Times New Roman"/>
                <w:sz w:val="20"/>
              </w:rPr>
              <w:t>study_id</w:t>
            </w:r>
          </w:p>
        </w:tc>
        <w:tc>
          <w:tcPr>
            <w:tcW w:type="dxa" w:w="2493"/>
          </w:tcPr>
          <w:p>
            <w:pPr>
              <w:spacing w:line="240" w:lineRule="auto"/>
            </w:pPr>
            <w:r/>
            <w:r>
              <w:rPr>
                <w:rFonts w:ascii="Times New Roman" w:hAnsi="Times New Roman"/>
                <w:sz w:val="20"/>
              </w:rPr>
              <w:t>Unique delivery episode identifier</w:t>
            </w:r>
          </w:p>
        </w:tc>
        <w:tc>
          <w:tcPr>
            <w:tcW w:type="dxa" w:w="2493"/>
          </w:tcPr>
          <w:p>
            <w:pPr>
              <w:spacing w:line="240" w:lineRule="auto"/>
            </w:pPr>
            <w:r/>
            <w:r>
              <w:rPr>
                <w:rFonts w:ascii="Times New Roman" w:hAnsi="Times New Roman"/>
                <w:sz w:val="20"/>
              </w:rPr>
              <w:t>Character</w:t>
            </w:r>
          </w:p>
        </w:tc>
        <w:tc>
          <w:tcPr>
            <w:tcW w:type="dxa" w:w="2493"/>
          </w:tcPr>
          <w:p>
            <w:pPr>
              <w:spacing w:line="240" w:lineRule="auto"/>
            </w:pPr>
            <w:r/>
            <w:r>
              <w:rPr>
                <w:rFonts w:ascii="Times New Roman" w:hAnsi="Times New Roman"/>
                <w:sz w:val="20"/>
              </w:rPr>
              <w:t>Hospital record</w:t>
            </w:r>
          </w:p>
        </w:tc>
      </w:tr>
      <w:tr>
        <w:tc>
          <w:tcPr>
            <w:tcW w:type="dxa" w:w="2493"/>
          </w:tcPr>
          <w:p>
            <w:pPr>
              <w:spacing w:line="240" w:lineRule="auto"/>
            </w:pPr>
            <w:r/>
            <w:r>
              <w:rPr>
                <w:rFonts w:ascii="Times New Roman" w:hAnsi="Times New Roman"/>
                <w:sz w:val="20"/>
              </w:rPr>
              <w:t>delivery_date_iso</w:t>
            </w:r>
          </w:p>
        </w:tc>
        <w:tc>
          <w:tcPr>
            <w:tcW w:type="dxa" w:w="2493"/>
          </w:tcPr>
          <w:p>
            <w:pPr>
              <w:spacing w:line="240" w:lineRule="auto"/>
            </w:pPr>
            <w:r/>
            <w:r>
              <w:rPr>
                <w:rFonts w:ascii="Times New Roman" w:hAnsi="Times New Roman"/>
                <w:sz w:val="20"/>
              </w:rPr>
              <w:t>Date of delivery (ISO format)</w:t>
            </w:r>
          </w:p>
        </w:tc>
        <w:tc>
          <w:tcPr>
            <w:tcW w:type="dxa" w:w="2493"/>
          </w:tcPr>
          <w:p>
            <w:pPr>
              <w:spacing w:line="240" w:lineRule="auto"/>
            </w:pPr>
            <w:r/>
            <w:r>
              <w:rPr>
                <w:rFonts w:ascii="Times New Roman" w:hAnsi="Times New Roman"/>
                <w:sz w:val="20"/>
              </w:rPr>
              <w:t>Date</w:t>
            </w:r>
          </w:p>
        </w:tc>
        <w:tc>
          <w:tcPr>
            <w:tcW w:type="dxa" w:w="2493"/>
          </w:tcPr>
          <w:p>
            <w:pPr>
              <w:spacing w:line="240" w:lineRule="auto"/>
            </w:pPr>
            <w:r/>
            <w:r>
              <w:rPr>
                <w:rFonts w:ascii="Times New Roman" w:hAnsi="Times New Roman"/>
                <w:sz w:val="20"/>
              </w:rPr>
              <w:t>Hospital record</w:t>
            </w:r>
          </w:p>
        </w:tc>
      </w:tr>
      <w:tr>
        <w:tc>
          <w:tcPr>
            <w:tcW w:type="dxa" w:w="2493"/>
          </w:tcPr>
          <w:p>
            <w:pPr>
              <w:spacing w:line="240" w:lineRule="auto"/>
            </w:pPr>
            <w:r/>
            <w:r>
              <w:rPr>
                <w:rFonts w:ascii="Times New Roman" w:hAnsi="Times New Roman"/>
                <w:sz w:val="20"/>
              </w:rPr>
              <w:t>delivery_year</w:t>
            </w:r>
          </w:p>
        </w:tc>
        <w:tc>
          <w:tcPr>
            <w:tcW w:type="dxa" w:w="2493"/>
          </w:tcPr>
          <w:p>
            <w:pPr>
              <w:spacing w:line="240" w:lineRule="auto"/>
            </w:pPr>
            <w:r/>
            <w:r>
              <w:rPr>
                <w:rFonts w:ascii="Times New Roman" w:hAnsi="Times New Roman"/>
                <w:sz w:val="20"/>
              </w:rPr>
              <w:t>Calendar year of delivery</w:t>
            </w:r>
          </w:p>
        </w:tc>
        <w:tc>
          <w:tcPr>
            <w:tcW w:type="dxa" w:w="2493"/>
          </w:tcPr>
          <w:p>
            <w:pPr>
              <w:spacing w:line="240" w:lineRule="auto"/>
            </w:pPr>
            <w:r/>
            <w:r>
              <w:rPr>
                <w:rFonts w:ascii="Times New Roman" w:hAnsi="Times New Roman"/>
                <w:sz w:val="20"/>
              </w:rPr>
              <w:t>Integer</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pre_delivery_hemoglobin_g_dl</w:t>
            </w:r>
          </w:p>
        </w:tc>
        <w:tc>
          <w:tcPr>
            <w:tcW w:type="dxa" w:w="2493"/>
          </w:tcPr>
          <w:p>
            <w:pPr>
              <w:spacing w:line="240" w:lineRule="auto"/>
            </w:pPr>
            <w:r/>
            <w:r>
              <w:rPr>
                <w:rFonts w:ascii="Times New Roman" w:hAnsi="Times New Roman"/>
                <w:sz w:val="20"/>
              </w:rPr>
              <w:t>Venous Hb at admission (g/dL)</w:t>
            </w:r>
          </w:p>
        </w:tc>
        <w:tc>
          <w:tcPr>
            <w:tcW w:type="dxa" w:w="2493"/>
          </w:tcPr>
          <w:p>
            <w:pPr>
              <w:spacing w:line="240" w:lineRule="auto"/>
            </w:pPr>
            <w:r/>
            <w:r>
              <w:rPr>
                <w:rFonts w:ascii="Times New Roman" w:hAnsi="Times New Roman"/>
                <w:sz w:val="20"/>
              </w:rPr>
              <w:t>Continuous</w:t>
            </w:r>
          </w:p>
        </w:tc>
        <w:tc>
          <w:tcPr>
            <w:tcW w:type="dxa" w:w="2493"/>
          </w:tcPr>
          <w:p>
            <w:pPr>
              <w:spacing w:line="240" w:lineRule="auto"/>
            </w:pPr>
            <w:r/>
            <w:r>
              <w:rPr>
                <w:rFonts w:ascii="Times New Roman" w:hAnsi="Times New Roman"/>
                <w:sz w:val="20"/>
              </w:rPr>
              <w:t>Laboratory</w:t>
            </w:r>
          </w:p>
        </w:tc>
      </w:tr>
      <w:tr>
        <w:tc>
          <w:tcPr>
            <w:tcW w:type="dxa" w:w="2493"/>
          </w:tcPr>
          <w:p>
            <w:pPr>
              <w:spacing w:line="240" w:lineRule="auto"/>
            </w:pPr>
            <w:r/>
            <w:r>
              <w:rPr>
                <w:rFonts w:ascii="Times New Roman" w:hAnsi="Times New Roman"/>
                <w:sz w:val="20"/>
              </w:rPr>
              <w:t>postpartum_6h_hemoglobin_g_dl</w:t>
            </w:r>
          </w:p>
        </w:tc>
        <w:tc>
          <w:tcPr>
            <w:tcW w:type="dxa" w:w="2493"/>
          </w:tcPr>
          <w:p>
            <w:pPr>
              <w:spacing w:line="240" w:lineRule="auto"/>
            </w:pPr>
            <w:r/>
            <w:r>
              <w:rPr>
                <w:rFonts w:ascii="Times New Roman" w:hAnsi="Times New Roman"/>
                <w:sz w:val="20"/>
              </w:rPr>
              <w:t>Venous Hb at 6 hours postpartum (g/dL)</w:t>
            </w:r>
          </w:p>
        </w:tc>
        <w:tc>
          <w:tcPr>
            <w:tcW w:type="dxa" w:w="2493"/>
          </w:tcPr>
          <w:p>
            <w:pPr>
              <w:spacing w:line="240" w:lineRule="auto"/>
            </w:pPr>
            <w:r/>
            <w:r>
              <w:rPr>
                <w:rFonts w:ascii="Times New Roman" w:hAnsi="Times New Roman"/>
                <w:sz w:val="20"/>
              </w:rPr>
              <w:t>Continuous</w:t>
            </w:r>
          </w:p>
        </w:tc>
        <w:tc>
          <w:tcPr>
            <w:tcW w:type="dxa" w:w="2493"/>
          </w:tcPr>
          <w:p>
            <w:pPr>
              <w:spacing w:line="240" w:lineRule="auto"/>
            </w:pPr>
            <w:r/>
            <w:r>
              <w:rPr>
                <w:rFonts w:ascii="Times New Roman" w:hAnsi="Times New Roman"/>
                <w:sz w:val="20"/>
              </w:rPr>
              <w:t>Laboratory</w:t>
            </w:r>
          </w:p>
        </w:tc>
      </w:tr>
      <w:tr>
        <w:tc>
          <w:tcPr>
            <w:tcW w:type="dxa" w:w="2493"/>
          </w:tcPr>
          <w:p>
            <w:pPr>
              <w:spacing w:line="240" w:lineRule="auto"/>
            </w:pPr>
            <w:r/>
            <w:r>
              <w:rPr>
                <w:rFonts w:ascii="Times New Roman" w:hAnsi="Times New Roman"/>
                <w:sz w:val="20"/>
              </w:rPr>
              <w:t>hemoglobin_drop_g_dl</w:t>
            </w:r>
          </w:p>
        </w:tc>
        <w:tc>
          <w:tcPr>
            <w:tcW w:type="dxa" w:w="2493"/>
          </w:tcPr>
          <w:p>
            <w:pPr>
              <w:spacing w:line="240" w:lineRule="auto"/>
            </w:pPr>
            <w:r/>
            <w:r>
              <w:rPr>
                <w:rFonts w:ascii="Times New Roman" w:hAnsi="Times New Roman"/>
                <w:sz w:val="20"/>
              </w:rPr>
              <w:t>Pre-delivery minus 6-h postpartum Hb (g/dL)</w:t>
            </w:r>
          </w:p>
        </w:tc>
        <w:tc>
          <w:tcPr>
            <w:tcW w:type="dxa" w:w="2493"/>
          </w:tcPr>
          <w:p>
            <w:pPr>
              <w:spacing w:line="240" w:lineRule="auto"/>
            </w:pPr>
            <w:r/>
            <w:r>
              <w:rPr>
                <w:rFonts w:ascii="Times New Roman" w:hAnsi="Times New Roman"/>
                <w:sz w:val="20"/>
              </w:rPr>
              <w:t>Continuous</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body_mass_index_kg_m2</w:t>
            </w:r>
          </w:p>
        </w:tc>
        <w:tc>
          <w:tcPr>
            <w:tcW w:type="dxa" w:w="2493"/>
          </w:tcPr>
          <w:p>
            <w:pPr>
              <w:spacing w:line="240" w:lineRule="auto"/>
            </w:pPr>
            <w:r/>
            <w:r>
              <w:rPr>
                <w:rFonts w:ascii="Times New Roman" w:hAnsi="Times New Roman"/>
                <w:sz w:val="20"/>
              </w:rPr>
              <w:t>Booking BMI (kg/m²)</w:t>
            </w:r>
          </w:p>
        </w:tc>
        <w:tc>
          <w:tcPr>
            <w:tcW w:type="dxa" w:w="2493"/>
          </w:tcPr>
          <w:p>
            <w:pPr>
              <w:spacing w:line="240" w:lineRule="auto"/>
            </w:pPr>
            <w:r/>
            <w:r>
              <w:rPr>
                <w:rFonts w:ascii="Times New Roman" w:hAnsi="Times New Roman"/>
                <w:sz w:val="20"/>
              </w:rPr>
              <w:t>Continuous</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parity</w:t>
            </w:r>
          </w:p>
        </w:tc>
        <w:tc>
          <w:tcPr>
            <w:tcW w:type="dxa" w:w="2493"/>
          </w:tcPr>
          <w:p>
            <w:pPr>
              <w:spacing w:line="240" w:lineRule="auto"/>
            </w:pPr>
            <w:r/>
            <w:r>
              <w:rPr>
                <w:rFonts w:ascii="Times New Roman" w:hAnsi="Times New Roman"/>
                <w:sz w:val="20"/>
              </w:rPr>
              <w:t>Number of previous deliveries ≥22 weeks</w:t>
            </w:r>
          </w:p>
        </w:tc>
        <w:tc>
          <w:tcPr>
            <w:tcW w:type="dxa" w:w="2493"/>
          </w:tcPr>
          <w:p>
            <w:pPr>
              <w:spacing w:line="240" w:lineRule="auto"/>
            </w:pPr>
            <w:r/>
            <w:r>
              <w:rPr>
                <w:rFonts w:ascii="Times New Roman" w:hAnsi="Times New Roman"/>
                <w:sz w:val="20"/>
              </w:rPr>
              <w:t>Integer</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delivery_mode</w:t>
            </w:r>
          </w:p>
        </w:tc>
        <w:tc>
          <w:tcPr>
            <w:tcW w:type="dxa" w:w="2493"/>
          </w:tcPr>
          <w:p>
            <w:pPr>
              <w:spacing w:line="240" w:lineRule="auto"/>
            </w:pPr>
            <w:r/>
            <w:r>
              <w:rPr>
                <w:rFonts w:ascii="Times New Roman" w:hAnsi="Times New Roman"/>
                <w:sz w:val="20"/>
              </w:rPr>
              <w:t>Vaginal delivery or Caesarean delivery</w:t>
            </w:r>
          </w:p>
        </w:tc>
        <w:tc>
          <w:tcPr>
            <w:tcW w:type="dxa" w:w="2493"/>
          </w:tcPr>
          <w:p>
            <w:pPr>
              <w:spacing w:line="240" w:lineRule="auto"/>
            </w:pPr>
            <w:r/>
            <w:r>
              <w:rPr>
                <w:rFonts w:ascii="Times New Roman" w:hAnsi="Times New Roman"/>
                <w:sz w:val="20"/>
              </w:rPr>
              <w:t>Categorical</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plurality_group</w:t>
            </w:r>
          </w:p>
        </w:tc>
        <w:tc>
          <w:tcPr>
            <w:tcW w:type="dxa" w:w="2493"/>
          </w:tcPr>
          <w:p>
            <w:pPr>
              <w:spacing w:line="240" w:lineRule="auto"/>
            </w:pPr>
            <w:r/>
            <w:r>
              <w:rPr>
                <w:rFonts w:ascii="Times New Roman" w:hAnsi="Times New Roman"/>
                <w:sz w:val="20"/>
              </w:rPr>
              <w:t>Singleton or Multiple pregnancy</w:t>
            </w:r>
          </w:p>
        </w:tc>
        <w:tc>
          <w:tcPr>
            <w:tcW w:type="dxa" w:w="2493"/>
          </w:tcPr>
          <w:p>
            <w:pPr>
              <w:spacing w:line="240" w:lineRule="auto"/>
            </w:pPr>
            <w:r/>
            <w:r>
              <w:rPr>
                <w:rFonts w:ascii="Times New Roman" w:hAnsi="Times New Roman"/>
                <w:sz w:val="20"/>
              </w:rPr>
              <w:t>Categorical</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grand_multiparity</w:t>
            </w:r>
          </w:p>
        </w:tc>
        <w:tc>
          <w:tcPr>
            <w:tcW w:type="dxa" w:w="2493"/>
          </w:tcPr>
          <w:p>
            <w:pPr>
              <w:spacing w:line="240" w:lineRule="auto"/>
            </w:pPr>
            <w:r/>
            <w:r>
              <w:rPr>
                <w:rFonts w:ascii="Times New Roman" w:hAnsi="Times New Roman"/>
                <w:sz w:val="20"/>
              </w:rPr>
              <w:t>Parity ≥5</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iron_use_during_pregnancy</w:t>
            </w:r>
          </w:p>
        </w:tc>
        <w:tc>
          <w:tcPr>
            <w:tcW w:type="dxa" w:w="2493"/>
          </w:tcPr>
          <w:p>
            <w:pPr>
              <w:spacing w:line="240" w:lineRule="auto"/>
            </w:pPr>
            <w:r/>
            <w:r>
              <w:rPr>
                <w:rFonts w:ascii="Times New Roman" w:hAnsi="Times New Roman"/>
                <w:sz w:val="20"/>
              </w:rPr>
              <w:t>Any oral iron supplementation</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iv_ferric_carboxymaltose_use_during_pregnancy</w:t>
            </w:r>
          </w:p>
        </w:tc>
        <w:tc>
          <w:tcPr>
            <w:tcW w:type="dxa" w:w="2493"/>
          </w:tcPr>
          <w:p>
            <w:pPr>
              <w:spacing w:line="240" w:lineRule="auto"/>
            </w:pPr>
            <w:r/>
            <w:r>
              <w:rPr>
                <w:rFonts w:ascii="Times New Roman" w:hAnsi="Times New Roman"/>
                <w:sz w:val="20"/>
              </w:rPr>
              <w:t>IV ferric carboxymaltose during pregnancy</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maternal_comorbidity_any</w:t>
            </w:r>
          </w:p>
        </w:tc>
        <w:tc>
          <w:tcPr>
            <w:tcW w:type="dxa" w:w="2493"/>
          </w:tcPr>
          <w:p>
            <w:pPr>
              <w:spacing w:line="240" w:lineRule="auto"/>
            </w:pPr>
            <w:r/>
            <w:r>
              <w:rPr>
                <w:rFonts w:ascii="Times New Roman" w:hAnsi="Times New Roman"/>
                <w:sz w:val="20"/>
              </w:rPr>
              <w:t>Any pre-existing maternal medical condition</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pregnancy_complication_any</w:t>
            </w:r>
          </w:p>
        </w:tc>
        <w:tc>
          <w:tcPr>
            <w:tcW w:type="dxa" w:w="2493"/>
          </w:tcPr>
          <w:p>
            <w:pPr>
              <w:spacing w:line="240" w:lineRule="auto"/>
            </w:pPr>
            <w:r/>
            <w:r>
              <w:rPr>
                <w:rFonts w:ascii="Times New Roman" w:hAnsi="Times New Roman"/>
                <w:sz w:val="20"/>
              </w:rPr>
              <w:t>Any complication during current pregnancy</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uterotonic_agent</w:t>
            </w:r>
          </w:p>
        </w:tc>
        <w:tc>
          <w:tcPr>
            <w:tcW w:type="dxa" w:w="2493"/>
          </w:tcPr>
          <w:p>
            <w:pPr>
              <w:spacing w:line="240" w:lineRule="auto"/>
            </w:pPr>
            <w:r/>
            <w:r>
              <w:rPr>
                <w:rFonts w:ascii="Times New Roman" w:hAnsi="Times New Roman"/>
                <w:sz w:val="20"/>
              </w:rPr>
              <w:t>Primary uterotonic (Carbetocin / Oxytocin / Unclear)</w:t>
            </w:r>
          </w:p>
        </w:tc>
        <w:tc>
          <w:tcPr>
            <w:tcW w:type="dxa" w:w="2493"/>
          </w:tcPr>
          <w:p>
            <w:pPr>
              <w:spacing w:line="240" w:lineRule="auto"/>
            </w:pPr>
            <w:r/>
            <w:r>
              <w:rPr>
                <w:rFonts w:ascii="Times New Roman" w:hAnsi="Times New Roman"/>
                <w:sz w:val="20"/>
              </w:rPr>
              <w:t>Categorical</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cord_clamping_delay_seconds</w:t>
            </w:r>
          </w:p>
        </w:tc>
        <w:tc>
          <w:tcPr>
            <w:tcW w:type="dxa" w:w="2493"/>
          </w:tcPr>
          <w:p>
            <w:pPr>
              <w:spacing w:line="240" w:lineRule="auto"/>
            </w:pPr>
            <w:r/>
            <w:r>
              <w:rPr>
                <w:rFonts w:ascii="Times New Roman" w:hAnsi="Times New Roman"/>
                <w:sz w:val="20"/>
              </w:rPr>
              <w:t>Recorded clamping delay (0 / 30 / 60 / 120 s)</w:t>
            </w:r>
          </w:p>
        </w:tc>
        <w:tc>
          <w:tcPr>
            <w:tcW w:type="dxa" w:w="2493"/>
          </w:tcPr>
          <w:p>
            <w:pPr>
              <w:spacing w:line="240" w:lineRule="auto"/>
            </w:pPr>
            <w:r/>
            <w:r>
              <w:rPr>
                <w:rFonts w:ascii="Times New Roman" w:hAnsi="Times New Roman"/>
                <w:sz w:val="20"/>
              </w:rPr>
              <w:t>Categorical</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exposure_guideline_delay</w:t>
            </w:r>
          </w:p>
        </w:tc>
        <w:tc>
          <w:tcPr>
            <w:tcW w:type="dxa" w:w="2493"/>
          </w:tcPr>
          <w:p>
            <w:pPr>
              <w:spacing w:line="240" w:lineRule="auto"/>
            </w:pPr>
            <w:r/>
            <w:r>
              <w:rPr>
                <w:rFonts w:ascii="Times New Roman" w:hAnsi="Times New Roman"/>
                <w:sz w:val="20"/>
              </w:rPr>
              <w:t>Primary exposure: Delayed ≥60 s vs Immediate/≤30 s</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postpartum_anemia_hb10</w:t>
            </w:r>
          </w:p>
        </w:tc>
        <w:tc>
          <w:tcPr>
            <w:tcW w:type="dxa" w:w="2493"/>
          </w:tcPr>
          <w:p>
            <w:pPr>
              <w:spacing w:line="240" w:lineRule="auto"/>
            </w:pPr>
            <w:r/>
            <w:r>
              <w:rPr>
                <w:rFonts w:ascii="Times New Roman" w:hAnsi="Times New Roman"/>
                <w:sz w:val="20"/>
              </w:rPr>
              <w:t>Postpartum Hb &lt;10 g/dL at 6 h</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postpartum_anemia_hb11</w:t>
            </w:r>
          </w:p>
        </w:tc>
        <w:tc>
          <w:tcPr>
            <w:tcW w:type="dxa" w:w="2493"/>
          </w:tcPr>
          <w:p>
            <w:pPr>
              <w:spacing w:line="240" w:lineRule="auto"/>
            </w:pPr>
            <w:r/>
            <w:r>
              <w:rPr>
                <w:rFonts w:ascii="Times New Roman" w:hAnsi="Times New Roman"/>
                <w:sz w:val="20"/>
              </w:rPr>
              <w:t>Postpartum Hb &lt;11 g/dL at 6 h</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hb_drop_ge_2g</w:t>
            </w:r>
          </w:p>
        </w:tc>
        <w:tc>
          <w:tcPr>
            <w:tcW w:type="dxa" w:w="2493"/>
          </w:tcPr>
          <w:p>
            <w:pPr>
              <w:spacing w:line="240" w:lineRule="auto"/>
            </w:pPr>
            <w:r/>
            <w:r>
              <w:rPr>
                <w:rFonts w:ascii="Times New Roman" w:hAnsi="Times New Roman"/>
                <w:sz w:val="20"/>
              </w:rPr>
              <w:t>Haemoglobin drop ≥2 g/dL</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Derived</w:t>
            </w:r>
          </w:p>
        </w:tc>
      </w:tr>
      <w:tr>
        <w:tc>
          <w:tcPr>
            <w:tcW w:type="dxa" w:w="2493"/>
          </w:tcPr>
          <w:p>
            <w:pPr>
              <w:spacing w:line="240" w:lineRule="auto"/>
            </w:pPr>
            <w:r/>
            <w:r>
              <w:rPr>
                <w:rFonts w:ascii="Times New Roman" w:hAnsi="Times New Roman"/>
                <w:sz w:val="20"/>
              </w:rPr>
              <w:t>postpartum_hemorrhage</w:t>
            </w:r>
          </w:p>
        </w:tc>
        <w:tc>
          <w:tcPr>
            <w:tcW w:type="dxa" w:w="2493"/>
          </w:tcPr>
          <w:p>
            <w:pPr>
              <w:spacing w:line="240" w:lineRule="auto"/>
            </w:pPr>
            <w:r/>
            <w:r>
              <w:rPr>
                <w:rFonts w:ascii="Times New Roman" w:hAnsi="Times New Roman"/>
                <w:sz w:val="20"/>
              </w:rPr>
              <w:t>Clinically diagnosed PPH</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r>
        <w:tc>
          <w:tcPr>
            <w:tcW w:type="dxa" w:w="2493"/>
          </w:tcPr>
          <w:p>
            <w:pPr>
              <w:spacing w:line="240" w:lineRule="auto"/>
            </w:pPr>
            <w:r/>
            <w:r>
              <w:rPr>
                <w:rFonts w:ascii="Times New Roman" w:hAnsi="Times New Roman"/>
                <w:sz w:val="20"/>
              </w:rPr>
              <w:t>blood_transfusion_needed</w:t>
            </w:r>
          </w:p>
        </w:tc>
        <w:tc>
          <w:tcPr>
            <w:tcW w:type="dxa" w:w="2493"/>
          </w:tcPr>
          <w:p>
            <w:pPr>
              <w:spacing w:line="240" w:lineRule="auto"/>
            </w:pPr>
            <w:r/>
            <w:r>
              <w:rPr>
                <w:rFonts w:ascii="Times New Roman" w:hAnsi="Times New Roman"/>
                <w:sz w:val="20"/>
              </w:rPr>
              <w:t>Blood transfusion during delivery admission</w:t>
            </w:r>
          </w:p>
        </w:tc>
        <w:tc>
          <w:tcPr>
            <w:tcW w:type="dxa" w:w="2493"/>
          </w:tcPr>
          <w:p>
            <w:pPr>
              <w:spacing w:line="240" w:lineRule="auto"/>
            </w:pPr>
            <w:r/>
            <w:r>
              <w:rPr>
                <w:rFonts w:ascii="Times New Roman" w:hAnsi="Times New Roman"/>
                <w:sz w:val="20"/>
              </w:rPr>
              <w:t>Binary</w:t>
            </w:r>
          </w:p>
        </w:tc>
        <w:tc>
          <w:tcPr>
            <w:tcW w:type="dxa" w:w="2493"/>
          </w:tcPr>
          <w:p>
            <w:pPr>
              <w:spacing w:line="240" w:lineRule="auto"/>
            </w:pPr>
            <w:r/>
            <w:r>
              <w:rPr>
                <w:rFonts w:ascii="Times New Roman" w:hAnsi="Times New Roman"/>
                <w:sz w:val="20"/>
              </w:rPr>
              <w:t>Clinical record</w:t>
            </w:r>
          </w:p>
        </w:tc>
      </w:tr>
    </w:tbl>
    <w:p>
      <w:r>
        <w:br w:type="page"/>
      </w:r>
    </w:p>
    <w:p>
      <w:pPr>
        <w:spacing w:before="280" w:after="120" w:line="360" w:lineRule="auto"/>
      </w:pPr>
      <w:r>
        <w:rPr>
          <w:rFonts w:ascii="Times New Roman" w:hAnsi="Times New Roman"/>
          <w:b/>
          <w:sz w:val="28"/>
        </w:rPr>
        <w:t>Supplementary File S3. Extended methods</w:t>
      </w:r>
    </w:p>
    <w:p>
      <w:pPr>
        <w:spacing w:before="280" w:after="120" w:line="360" w:lineRule="auto"/>
      </w:pPr>
      <w:r>
        <w:rPr>
          <w:rFonts w:ascii="Times New Roman" w:hAnsi="Times New Roman"/>
          <w:b/>
          <w:sz w:val="24"/>
        </w:rPr>
        <w:t>S3.1 Propensity-score model formula</w:t>
      </w:r>
    </w:p>
    <w:p>
      <w:pPr>
        <w:spacing w:after="120" w:line="360" w:lineRule="auto"/>
        <w:jc w:val="both"/>
      </w:pPr>
      <w:r>
        <w:rPr>
          <w:rFonts w:ascii="Times New Roman" w:hAnsi="Times New Roman"/>
          <w:b w:val="0"/>
          <w:i w:val="0"/>
          <w:sz w:val="22"/>
        </w:rPr>
        <w:t>The propensity-score model retained the following terms (continuous covariates with possible non-linear effects entered as natural cubic splines with 3 degrees of freedom):</w:t>
      </w:r>
    </w:p>
    <w:p>
      <w:pPr>
        <w:spacing w:after="120" w:line="360" w:lineRule="auto"/>
        <w:jc w:val="both"/>
      </w:pPr>
      <w:r>
        <w:rPr>
          <w:rFonts w:ascii="Times New Roman" w:hAnsi="Times New Roman"/>
          <w:b w:val="0"/>
          <w:i/>
          <w:sz w:val="22"/>
        </w:rPr>
        <w:t>exposure_guideline_delay ~ ns(pre_delivery_hemoglobin_g_dl, 3) + ns(body_mass_index_kg_m2, 3) + ns(delivery_date_numeric, 3) + parity + delivery_mode + plurality_group + grand_multiparity + iron_use_during_pregnancy + iv_ferric_carboxymaltose_use_during_pregnancy + maternal_comorbidity_any + pregnancy_complication_any.</w:t>
      </w:r>
    </w:p>
    <w:p>
      <w:pPr>
        <w:spacing w:after="120" w:line="360" w:lineRule="auto"/>
        <w:jc w:val="both"/>
      </w:pPr>
      <w:r>
        <w:rPr>
          <w:rFonts w:ascii="Times New Roman" w:hAnsi="Times New Roman"/>
          <w:b w:val="0"/>
          <w:i w:val="0"/>
          <w:sz w:val="22"/>
        </w:rPr>
        <w:t>Variables were retained dynamically: any variable with zero variance or available in fewer than two levels was excluded from the propensity model for that analysis run.</w:t>
      </w:r>
    </w:p>
    <w:p>
      <w:pPr>
        <w:spacing w:before="280" w:after="120" w:line="360" w:lineRule="auto"/>
      </w:pPr>
      <w:r>
        <w:rPr>
          <w:rFonts w:ascii="Times New Roman" w:hAnsi="Times New Roman"/>
          <w:b/>
          <w:sz w:val="24"/>
        </w:rPr>
        <w:t>S3.2 Estimation procedures</w:t>
      </w:r>
    </w:p>
    <w:p>
      <w:pPr>
        <w:spacing w:after="120" w:line="360" w:lineRule="auto"/>
        <w:jc w:val="both"/>
      </w:pPr>
      <w:r>
        <w:rPr>
          <w:rFonts w:ascii="Times New Roman" w:hAnsi="Times New Roman"/>
          <w:b w:val="0"/>
          <w:i w:val="0"/>
          <w:sz w:val="22"/>
        </w:rPr>
        <w:t>Modified Poisson regression for binary outcomes used a quasi-Poisson generalised linear model with log link and HC0 sandwich-type robust standard errors. Stabilised IPTW used the average treatment effect (ATE) estimand with weights stabilised by marginal exposure prevalence and truncated at the 1st and 99th percentiles. Overlap weighting used the average treatment effect among the overlap population (ATO); overlap weights are bounded by construction and do not require truncation. Outcome models under IPTW and overlap weighting were estimated with survey-weighted quasi-Poisson regression (svydesign / svyglm with quasipoisson(log)). Propensity-score matching used 1:1 nearest-neighbour matching without replacement with a caliper of 0.2 standard deviations of the logit propensity score.</w:t>
      </w:r>
    </w:p>
    <w:p>
      <w:pPr>
        <w:spacing w:before="280" w:after="120" w:line="360" w:lineRule="auto"/>
      </w:pPr>
      <w:r>
        <w:rPr>
          <w:rFonts w:ascii="Times New Roman" w:hAnsi="Times New Roman"/>
          <w:b/>
          <w:sz w:val="24"/>
        </w:rPr>
        <w:t>S3.3 Effective sample sizes after weighting</w:t>
      </w:r>
    </w:p>
    <w:p>
      <w:pPr>
        <w:spacing w:after="120" w:line="360" w:lineRule="auto"/>
        <w:jc w:val="both"/>
      </w:pPr>
      <w:r>
        <w:rPr>
          <w:rFonts w:ascii="Times New Roman" w:hAnsi="Times New Roman"/>
          <w:b w:val="0"/>
          <w:i w:val="0"/>
          <w:sz w:val="22"/>
        </w:rPr>
        <w:t>The IPTW effective sample size was 2,349.6 in the immediate/30 s group and 727.1 in the DCC group. The reduction in DCC effective sample size reflects the small number of DCC observations from the 2022 calendar period contributing high stabilised weights; concordance with overlap weighting (which is bounded by construction) and matching (1,434 pairs after caliper) supports the reliability of the calendar-adjusted estimate.</w:t>
      </w:r>
    </w:p>
    <w:p>
      <w:pPr>
        <w:spacing w:before="280" w:after="120" w:line="360" w:lineRule="auto"/>
      </w:pPr>
      <w:r>
        <w:rPr>
          <w:rFonts w:ascii="Times New Roman" w:hAnsi="Times New Roman"/>
          <w:b/>
          <w:sz w:val="24"/>
        </w:rPr>
        <w:t>S3.4 Sensitivity analyses inventory</w:t>
      </w:r>
    </w:p>
    <w:p>
      <w:pPr>
        <w:spacing w:after="120" w:line="360" w:lineRule="auto"/>
        <w:jc w:val="both"/>
      </w:pPr>
      <w:r>
        <w:rPr>
          <w:rFonts w:ascii="Times New Roman" w:hAnsi="Times New Roman"/>
          <w:b w:val="0"/>
          <w:i w:val="0"/>
          <w:sz w:val="22"/>
        </w:rPr>
        <w:t>1) Four-level cord-clamping timing (Supplementary Table S1). 2) Clustered-ID robust standard errors at maternal level (Supplementary Table S2). 3) Same-patient-same-date duplicate exclusion (Supplementary Table S2). 4) Conventional adjusted logistic regression for binary outcomes (cross-method comparison; concordant). 5) Firth-penalised logistic regression for the sparse blood-transfusion outcome (28 events). 6) E-value for the primary IPTW estimate (Supplementary Table S3).</w:t>
      </w:r>
    </w:p>
    <w:p>
      <w:pPr>
        <w:spacing w:before="280" w:after="120" w:line="360" w:lineRule="auto"/>
      </w:pPr>
      <w:r>
        <w:rPr>
          <w:rFonts w:ascii="Times New Roman" w:hAnsi="Times New Roman"/>
          <w:b/>
          <w:sz w:val="28"/>
        </w:rPr>
        <w:t>Supplementary File S4. Reproducibility statement</w:t>
      </w:r>
    </w:p>
    <w:p>
      <w:pPr>
        <w:spacing w:after="120" w:line="360" w:lineRule="auto"/>
        <w:jc w:val="both"/>
      </w:pPr>
      <w:r>
        <w:rPr>
          <w:rFonts w:ascii="Times New Roman" w:hAnsi="Times New Roman"/>
          <w:b w:val="0"/>
          <w:i w:val="0"/>
          <w:sz w:val="22"/>
        </w:rPr>
        <w:t>The analysis script (R) is supplied alongside this submission as a single file (PPH_CordClamping_statistical_script.R, version 14). The script regenerates: harmonised analysis dataset; English-schema audit; quality-control summary; baseline tables by primary exposure, by delivery mode and by four-level cord-clamping group; conventional regression and clustered/duplicate-exclusion sensitivity; IPTW and overlap-weighted models with balance diagnostics and Love plots; 1:1 propensity-score matched models; four-level cord-clamping dose-response; subgroup and formal delivery-mode interaction models; Firth-penalised logistic regression for transfusion; and E-values. All output files are reproducible from the supplied analysis script using the de-identified analysis dataset, which is available from the corresponding author on reasonable request and subject to institutional and ethics-committee approvals (consistent with the data-availability statement on the title page). Required R packages: tidyverse, readr, readxl, janitor, lubridate, broom, tableone, WeightIt, cobalt, survey, sandwich, lmtest, MatchIt, logistf, EValue, splines.</w:t>
      </w:r>
    </w:p>
    <w:p>
      <w:pPr>
        <w:spacing w:before="240" w:after="80"/>
        <w:rPr>
          <w:b/>
          <w:sz w:val="26"/>
        </w:rPr>
      </w:pPr>
      <w:r>
        <w:rPr>
          <w:b/>
          <w:sz w:val="26"/>
        </w:rPr>
        <w:t>Supplementary File S5. Supplementary figure legends</w:t>
      </w:r>
    </w:p>
    <w:p>
      <w:pPr>
        <w:spacing w:after="100"/>
      </w:pPr>
      <w:r>
        <w:rPr>
          <w:b/>
        </w:rPr>
        <w:t xml:space="preserve">Figure S1. </w:t>
      </w:r>
      <w:r>
        <w:t>Covariate balance Love plot for stabilised inverse-probability-of-treatment weighting (IPTW). Standardised mean differences (SMDs) are shown before weighting (open symbols) and after weighting (filled symbols); the dashed line marks SMD = 0.10.</w:t>
      </w:r>
    </w:p>
    <w:p>
      <w:pPr>
        <w:spacing w:after="100"/>
      </w:pPr>
      <w:r>
        <w:rPr>
          <w:b/>
        </w:rPr>
        <w:t xml:space="preserve">Figure S2. </w:t>
      </w:r>
      <w:r>
        <w:t>Covariate balance Love plot for overlap weighting. Standardised mean differences before and after weighting; the dashed line marks SMD = 0.10.</w:t>
      </w:r>
    </w:p>
    <w:p>
      <w:pPr>
        <w:spacing w:after="100"/>
      </w:pPr>
      <w:r>
        <w:rPr>
          <w:b/>
        </w:rPr>
        <w:t xml:space="preserve">Figure S3. </w:t>
      </w:r>
      <w:r>
        <w:t>Haemoglobin drop (g/dL) from pre-delivery to 6 hours postpartum by four-level cord-clamping group.</w:t>
      </w:r>
    </w:p>
    <w:p>
      <w:pPr>
        <w:spacing w:after="160"/>
      </w:pPr>
      <w:r>
        <w:rPr>
          <w:b/>
        </w:rPr>
        <w:t xml:space="preserve">Figure S5. </w:t>
      </w:r>
      <w:r>
        <w:t>Dose–response sensitivity analysis: risk ratios for postpartum anaemia (Hb &lt;10 g/dL) by four-level cord-clamping timing category (immediate, 30 s, 60 s, ≥120 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