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Times New Roman" w:hAnsi="Times New Roman"/>
          <w:b/>
          <w:i w:val="0"/>
          <w:sz w:val="28"/>
        </w:rPr>
        <w:t>STROBE Checklist — Cohort Studies</w:t>
      </w:r>
    </w:p>
    <w:p>
      <w:pPr>
        <w:spacing w:after="240" w:line="360" w:lineRule="auto"/>
      </w:pPr>
      <w:r>
        <w:rPr>
          <w:rFonts w:ascii="Times New Roman" w:hAnsi="Times New Roman"/>
          <w:b w:val="0"/>
          <w:i/>
          <w:sz w:val="22"/>
        </w:rPr>
        <w:t>Manuscript: Delayed umbilical cord clamping and postpartum maternal outcomes: a calendar-time-adjusted observational cohort study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Recommendation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Reported in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Title and Abstract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1(a)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Indicate study design with a commonly used term in the title or abstract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Title and Abstract: 'observational cohort study'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1(b)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Provide an informative and balanced summary in the abstract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Structured abstract: Introduction / Material and methods / Results / Conclusions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Introduction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Background and rationale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Introduction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Specific objectives, including pre-specified hypotheses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Final paragraph of Introduction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Methods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Key study design elements presented early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Methods §2.1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Setting, locations, dates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Methods §2.1; Results §3.1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6(a)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Eligibility criteria; sources/methods of participant selection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Methods §2.1; Figure 1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6(b)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Matching criteria for matched studies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Methods §2.5; Supplementary Methods S3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Variable definitions: outcomes, exposures, confounders, effect modifiers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Methods §2.2–2.4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Sources of data and details of measurement methods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Methods §2.2–2.4; Supplementary File S2 data dictionary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Bias addressed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Methods §2.4–2.5; Discussion §4.2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Study size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Methods §2.1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Quantitative variables handling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Methods §2.2 (categorical exposure) and §2.4 (calendar-time spline)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12(a)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Statistical methods, including confounding control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Methods §2.5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12(b)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Subgroups and interactions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Methods §2.5; Table 3; Figure 4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12(c)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Missing data handling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Methods §2.1; Supplementary File S2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12(d)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Loss to follow-up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Not applicable (single inpatient delivery episode; 6-h outcome window)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12(e)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Sensitivity analyses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Methods §2.5; Supplementary Tables S1–S3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Results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13(a)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Numbers at each stage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Results §3.1; Figure 1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13(b)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Reasons for non-participation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Methods §2.1; Figure 1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13(c)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Flow diagram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Figure 1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14(a)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Participant characteristics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Table 1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14(b)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Number with missing data per variable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Supplementary File S2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14(c)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Follow-up time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Not applicable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Numbers of outcome events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Results §3.3–3.4; Tables 2–3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16(a)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Unadjusted and adjusted estimates with 95% CIs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Tables 2–3; Figure 3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16(b)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Continuous-variable category boundaries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Methods §2.2; Supplementary Table S1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16(c)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Translation of relative to absolute risk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Results §3.3 (22.7% vs 20.7%)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Other analyses (sensitivity, subgroups, interactions)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Results §3.5–3.6; Supplementary Tables S1–S3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Discussion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Key results summary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Discussion §4.1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Limitations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Discussion §4.2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Cautious interpretation, considering objectives, limitations, multiplicity, similar studies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Discussion §4.3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Generalisability (external validity)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Discussion §4.2; §4.3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Other information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Funding source and role of funder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0"/>
              </w:rPr>
              <w:t>Title page (Funding statement)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