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056" w:rsidRDefault="00A43764">
      <w:r w:rsidRPr="00BA3899">
        <w:rPr>
          <w:noProof/>
          <w:color w:val="FFFFFF" w:themeColor="background1"/>
          <w:lang w:eastAsia="ro-RO"/>
        </w:rPr>
        <w:drawing>
          <wp:inline distT="0" distB="0" distL="0" distR="0">
            <wp:extent cx="6134100" cy="3514725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23056" w:rsidSect="00D23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08"/>
  <w:hyphenationZone w:val="425"/>
  <w:characterSpacingControl w:val="doNotCompress"/>
  <w:compat/>
  <w:rsids>
    <w:rsidRoot w:val="00A43764"/>
    <w:rsid w:val="000D2266"/>
    <w:rsid w:val="00632B51"/>
    <w:rsid w:val="00862512"/>
    <w:rsid w:val="008B3A9E"/>
    <w:rsid w:val="009C0F04"/>
    <w:rsid w:val="00A43764"/>
    <w:rsid w:val="00BA3899"/>
    <w:rsid w:val="00C553A9"/>
    <w:rsid w:val="00D23056"/>
    <w:rsid w:val="00D82209"/>
    <w:rsid w:val="00F5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00" w:afterAutospacing="1" w:line="276" w:lineRule="auto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o-RO"/>
  <c:chart>
    <c:view3D>
      <c:rAngAx val="1"/>
    </c:view3D>
    <c:floor>
      <c:spPr>
        <a:ln w="12700">
          <a:solidFill>
            <a:schemeClr val="bg1"/>
          </a:solidFill>
        </a:ln>
      </c:spPr>
    </c:floor>
    <c:sideWall>
      <c:spPr>
        <a:noFill/>
        <a:ln w="12700">
          <a:solidFill>
            <a:schemeClr val="bg1"/>
          </a:solidFill>
        </a:ln>
      </c:spPr>
    </c:sideWall>
    <c:backWall>
      <c:spPr>
        <a:noFill/>
        <a:ln w="12700">
          <a:solidFill>
            <a:schemeClr val="bg1"/>
          </a:solidFill>
        </a:ln>
      </c:spPr>
    </c:backWall>
    <c:plotArea>
      <c:layout>
        <c:manualLayout>
          <c:layoutTarget val="inner"/>
          <c:xMode val="edge"/>
          <c:yMode val="edge"/>
          <c:x val="0.1058293234179061"/>
          <c:y val="4.3650793650793704E-2"/>
          <c:w val="0.66412547389909715"/>
          <c:h val="0.8758895763029626"/>
        </c:manualLayout>
      </c:layout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Oastași Moldova</c:v>
                </c:pt>
              </c:strCache>
            </c:strRef>
          </c:tx>
          <c:spPr>
            <a:solidFill>
              <a:srgbClr val="B0A695"/>
            </a:solidFill>
          </c:spPr>
          <c:dLbls>
            <c:txPr>
              <a:bodyPr/>
              <a:lstStyle/>
              <a:p>
                <a:pPr>
                  <a:defRPr sz="1300">
                    <a:solidFill>
                      <a:schemeClr val="bg1"/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endParaRPr lang="ro-RO"/>
              </a:p>
            </c:txPr>
            <c:showVal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2000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Panduri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</c:spPr>
          <c:dPt>
            <c:idx val="0"/>
            <c:spPr>
              <a:solidFill>
                <a:srgbClr val="EBE3D5"/>
              </a:solidFill>
            </c:spPr>
          </c:dPt>
          <c:dLbls>
            <c:txPr>
              <a:bodyPr/>
              <a:lstStyle/>
              <a:p>
                <a:pPr>
                  <a:defRPr sz="1300">
                    <a:solidFill>
                      <a:schemeClr val="bg1"/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endParaRPr lang="ro-RO"/>
              </a:p>
            </c:txPr>
            <c:showVal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4000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Arnauți</c:v>
                </c:pt>
              </c:strCache>
            </c:strRef>
          </c:tx>
          <c:spPr>
            <a:solidFill>
              <a:srgbClr val="DED0B6"/>
            </a:solidFill>
          </c:spPr>
          <c:dLbls>
            <c:txPr>
              <a:bodyPr/>
              <a:lstStyle/>
              <a:p>
                <a:pPr>
                  <a:defRPr sz="1300">
                    <a:solidFill>
                      <a:schemeClr val="bg1"/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endParaRPr lang="ro-RO"/>
              </a:p>
            </c:txPr>
            <c:showVal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200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Aliați</c:v>
                </c:pt>
              </c:strCache>
            </c:strRef>
          </c:tx>
          <c:spPr>
            <a:solidFill>
              <a:srgbClr val="BBAB8C"/>
            </a:solidFill>
          </c:spPr>
          <c:dLbls>
            <c:txPr>
              <a:bodyPr/>
              <a:lstStyle/>
              <a:p>
                <a:pPr>
                  <a:defRPr sz="1300">
                    <a:solidFill>
                      <a:schemeClr val="bg1"/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endParaRPr lang="ro-RO"/>
              </a:p>
            </c:txPr>
            <c:showVal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1600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Țara Românească</c:v>
                </c:pt>
              </c:strCache>
            </c:strRef>
          </c:tx>
          <c:spPr>
            <a:solidFill>
              <a:srgbClr val="FAEED0"/>
            </a:solidFill>
          </c:spPr>
          <c:dLbls>
            <c:txPr>
              <a:bodyPr/>
              <a:lstStyle/>
              <a:p>
                <a:pPr>
                  <a:defRPr sz="1300" b="0">
                    <a:solidFill>
                      <a:schemeClr val="bg1"/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endParaRPr lang="ro-RO"/>
              </a:p>
            </c:txPr>
            <c:showVal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10000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Cazaci</c:v>
                </c:pt>
              </c:strCache>
            </c:strRef>
          </c:tx>
          <c:spPr>
            <a:solidFill>
              <a:srgbClr val="776B5D"/>
            </a:solidFill>
          </c:spPr>
          <c:dLbls>
            <c:txPr>
              <a:bodyPr/>
              <a:lstStyle/>
              <a:p>
                <a:pPr>
                  <a:defRPr sz="1300">
                    <a:solidFill>
                      <a:schemeClr val="bg1"/>
                    </a:solidFill>
                    <a:latin typeface="Times New Roman" pitchFamily="18" charset="0"/>
                    <a:cs typeface="Times New Roman" pitchFamily="18" charset="0"/>
                  </a:defRPr>
                </a:pPr>
                <a:endParaRPr lang="ro-RO"/>
              </a:p>
            </c:txPr>
            <c:showVal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Sheet1!$G$2</c:f>
              <c:numCache>
                <c:formatCode>General</c:formatCode>
                <c:ptCount val="1"/>
                <c:pt idx="0">
                  <c:v>1000</c:v>
                </c:pt>
              </c:numCache>
            </c:numRef>
          </c:val>
        </c:ser>
        <c:shape val="box"/>
        <c:axId val="69878912"/>
        <c:axId val="69880448"/>
        <c:axId val="0"/>
      </c:bar3DChart>
      <c:catAx>
        <c:axId val="69878912"/>
        <c:scaling>
          <c:orientation val="minMax"/>
        </c:scaling>
        <c:axPos val="b"/>
        <c:numFmt formatCode="General" sourceLinked="1"/>
        <c:tickLblPos val="nextTo"/>
        <c:spPr>
          <a:ln w="12700">
            <a:solidFill>
              <a:schemeClr val="bg1">
                <a:lumMod val="65000"/>
              </a:schemeClr>
            </a:solidFill>
          </a:ln>
        </c:spPr>
        <c:crossAx val="69880448"/>
        <c:crosses val="autoZero"/>
        <c:auto val="1"/>
        <c:lblAlgn val="ctr"/>
        <c:lblOffset val="100"/>
      </c:catAx>
      <c:valAx>
        <c:axId val="69880448"/>
        <c:scaling>
          <c:orientation val="minMax"/>
        </c:scaling>
        <c:axPos val="l"/>
        <c:majorGridlines>
          <c:spPr>
            <a:ln w="12700">
              <a:solidFill>
                <a:schemeClr val="bg1"/>
              </a:solidFill>
            </a:ln>
          </c:spPr>
        </c:majorGridlines>
        <c:numFmt formatCode="General" sourceLinked="1"/>
        <c:tickLblPos val="nextTo"/>
        <c:spPr>
          <a:noFill/>
          <a:ln w="12700">
            <a:solidFill>
              <a:schemeClr val="bg1"/>
            </a:solidFill>
          </a:ln>
        </c:spPr>
        <c:txPr>
          <a:bodyPr/>
          <a:lstStyle/>
          <a:p>
            <a:pPr>
              <a:defRPr sz="1400">
                <a:solidFill>
                  <a:schemeClr val="bg1"/>
                </a:solidFill>
                <a:latin typeface="Times New Roman" pitchFamily="18" charset="0"/>
                <a:cs typeface="Times New Roman" pitchFamily="18" charset="0"/>
              </a:defRPr>
            </a:pPr>
            <a:endParaRPr lang="ro-RO"/>
          </a:p>
        </c:txPr>
        <c:crossAx val="69878912"/>
        <c:crosses val="autoZero"/>
        <c:crossBetween val="between"/>
      </c:valAx>
      <c:spPr>
        <a:noFill/>
      </c:spPr>
    </c:plotArea>
    <c:legend>
      <c:legendPos val="r"/>
      <c:layout>
        <c:manualLayout>
          <c:xMode val="edge"/>
          <c:yMode val="edge"/>
          <c:x val="0.76894666812481838"/>
          <c:y val="0.29531746031746098"/>
          <c:w val="0.23105333187518245"/>
          <c:h val="0.43997375328084048"/>
        </c:manualLayout>
      </c:layout>
      <c:txPr>
        <a:bodyPr/>
        <a:lstStyle/>
        <a:p>
          <a:pPr>
            <a:defRPr sz="1200">
              <a:solidFill>
                <a:schemeClr val="bg1"/>
              </a:solidFill>
              <a:latin typeface="Times New Roman" pitchFamily="18" charset="0"/>
              <a:cs typeface="Times New Roman" pitchFamily="18" charset="0"/>
            </a:defRPr>
          </a:pPr>
          <a:endParaRPr lang="ro-RO"/>
        </a:p>
      </c:txPr>
    </c:legend>
    <c:plotVisOnly val="1"/>
  </c:chart>
  <c:spPr>
    <a:solidFill>
      <a:srgbClr val="B0A695"/>
    </a:solidFill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drd</dc:creator>
  <cp:lastModifiedBy>drd</cp:lastModifiedBy>
  <cp:revision>4</cp:revision>
  <dcterms:created xsi:type="dcterms:W3CDTF">2023-11-25T22:30:00Z</dcterms:created>
  <dcterms:modified xsi:type="dcterms:W3CDTF">2024-01-04T19:19:00Z</dcterms:modified>
</cp:coreProperties>
</file>