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2"/>
        <w:jc w:val="left"/>
        <w:rPr>
          <w:sz w:val="72"/>
          <w:szCs w:val="72"/>
        </w:rPr>
      </w:pPr>
    </w:p>
    <w:p>
      <w:pPr>
        <w:pStyle w:val="12"/>
        <w:jc w:val="left"/>
        <w:rPr>
          <w:sz w:val="72"/>
          <w:szCs w:val="72"/>
        </w:rPr>
      </w:pPr>
    </w:p>
    <w:p>
      <w:pPr>
        <w:pStyle w:val="12"/>
        <w:jc w:val="left"/>
        <w:rPr>
          <w:sz w:val="72"/>
          <w:szCs w:val="72"/>
        </w:rPr>
      </w:pPr>
    </w:p>
    <w:p>
      <w:pPr>
        <w:pStyle w:val="2"/>
        <w:jc w:val="left"/>
        <w:rPr>
          <w:sz w:val="72"/>
          <w:szCs w:val="72"/>
        </w:rPr>
      </w:pPr>
      <w:r>
        <w:rPr>
          <w:sz w:val="72"/>
          <w:szCs w:val="72"/>
        </w:rPr>
        <w:t>Basic Security</w:t>
      </w:r>
    </w:p>
    <w:p>
      <w:pPr>
        <w:jc w:val="left"/>
        <w:rPr>
          <w:rFonts w:hint="default"/>
          <w:sz w:val="28"/>
          <w:szCs w:val="28"/>
        </w:rPr>
      </w:pPr>
      <w:r>
        <w:rPr>
          <w:b/>
          <w:color w:val="0070C0"/>
          <w:sz w:val="36"/>
        </w:rPr>
        <w:t>Vulnerability Analysis</w:t>
      </w:r>
      <w:r>
        <w:rPr>
          <w:rFonts w:hint="default"/>
          <w:sz w:val="28"/>
          <w:szCs w:val="28"/>
        </w:rPr>
        <w:br w:type="page"/>
      </w:r>
    </w:p>
    <w:p>
      <w:pPr>
        <w:jc w:val="left"/>
        <w:rPr>
          <w:rFonts w:hint="default"/>
          <w:sz w:val="28"/>
          <w:szCs w:val="28"/>
        </w:rPr>
      </w:pPr>
      <w:r>
        <w:rPr>
          <w:rFonts w:hint="default"/>
          <w:sz w:val="28"/>
          <w:szCs w:val="28"/>
        </w:rPr>
        <w:br w:type="page"/>
      </w:r>
    </w:p>
    <w:p>
      <w:pPr>
        <w:pStyle w:val="3"/>
        <w:jc w:val="left"/>
        <w:rPr>
          <w:color w:val="0070C0"/>
        </w:rPr>
      </w:pPr>
      <w:r>
        <w:rPr>
          <w:color w:val="0070C0"/>
        </w:rPr>
        <w:t>Nessus scan</w:t>
      </w:r>
    </w:p>
    <w:p>
      <w:pPr>
        <w:pStyle w:val="4"/>
        <w:jc w:val="left"/>
        <w:rPr>
          <w:rFonts w:hint="default"/>
        </w:rPr>
      </w:pPr>
      <w:r>
        <w:rPr>
          <w:rFonts w:hint="default"/>
        </w:rPr>
        <w:t>Windows OS</w:t>
      </w:r>
    </w:p>
    <w:p>
      <w:pPr>
        <w:jc w:val="left"/>
        <w:rPr>
          <w:rFonts w:hint="default"/>
        </w:rPr>
      </w:pPr>
    </w:p>
    <w:p>
      <w:pPr>
        <w:pStyle w:val="4"/>
        <w:jc w:val="left"/>
        <w:rPr>
          <w:lang w:val="nl-BE"/>
        </w:rPr>
      </w:pPr>
      <w:r>
        <w:rPr>
          <w:lang w:val="nl-BE"/>
        </w:rPr>
        <w:br w:type="page"/>
      </w:r>
    </w:p>
    <w:p>
      <w:pPr>
        <w:pStyle w:val="4"/>
        <w:jc w:val="left"/>
        <w:rPr>
          <w:lang w:val="nl-BE"/>
        </w:rPr>
      </w:pPr>
      <w:r>
        <w:rPr>
          <w:lang w:val="nl-BE"/>
        </w:rPr>
        <w:t>Metasploitable OS</w:t>
      </w:r>
    </w:p>
    <w:tbl>
      <w:tblPr>
        <w:tblStyle w:val="11"/>
        <w:tblW w:w="92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79"/>
        <w:gridCol w:w="2505"/>
        <w:gridCol w:w="2385"/>
        <w:gridCol w:w="2595"/>
      </w:tblGrid>
      <w:tr>
        <w:tc>
          <w:tcPr>
            <w:tcW w:w="1779" w:type="dxa"/>
            <w:tcBorders>
              <w:top w:val="single" w:color="4F81BD" w:sz="8" w:space="0"/>
              <w:left w:val="single" w:color="4F81BD" w:sz="8" w:space="0"/>
              <w:bottom w:val="single" w:color="FFFFFF" w:sz="4" w:space="0"/>
              <w:right w:val="single" w:color="4F81BD" w:sz="8" w:space="0"/>
            </w:tcBorders>
            <w:shd w:val="clear" w:color="auto" w:fill="4F81BD"/>
          </w:tcPr>
          <w:p>
            <w:pPr>
              <w:jc w:val="left"/>
              <w:rPr>
                <w:rFonts w:hint="default"/>
                <w:color w:val="FFFFFF"/>
                <w:vertAlign w:val="baseline"/>
              </w:rPr>
            </w:pPr>
            <w:r>
              <w:rPr>
                <w:rFonts w:hint="default"/>
                <w:color w:val="FFFFFF"/>
                <w:vertAlign w:val="baseline"/>
              </w:rPr>
              <w:t>CVE</w:t>
            </w:r>
          </w:p>
        </w:tc>
        <w:tc>
          <w:tcPr>
            <w:tcW w:w="2505" w:type="dxa"/>
            <w:tcBorders>
              <w:top w:val="single" w:color="4F81BD" w:sz="8" w:space="0"/>
              <w:left w:val="single" w:color="4F81BD" w:sz="8" w:space="0"/>
              <w:bottom w:val="single" w:color="FFFFFF" w:sz="4" w:space="0"/>
              <w:right w:val="single" w:color="4F81BD" w:sz="8" w:space="0"/>
            </w:tcBorders>
            <w:shd w:val="clear" w:color="auto" w:fill="4F81BD"/>
          </w:tcPr>
          <w:p>
            <w:pPr>
              <w:jc w:val="left"/>
              <w:rPr>
                <w:rFonts w:hint="default"/>
                <w:color w:val="FFFFFF"/>
                <w:vertAlign w:val="baseline"/>
              </w:rPr>
            </w:pPr>
            <w:r>
              <w:rPr>
                <w:rFonts w:hint="default"/>
                <w:color w:val="FFFFFF"/>
                <w:vertAlign w:val="baseline"/>
              </w:rPr>
              <w:t>Wat</w:t>
            </w:r>
          </w:p>
        </w:tc>
        <w:tc>
          <w:tcPr>
            <w:tcW w:w="2385" w:type="dxa"/>
            <w:tcBorders>
              <w:top w:val="single" w:color="4F81BD" w:sz="8" w:space="0"/>
              <w:left w:val="single" w:color="4F81BD" w:sz="8" w:space="0"/>
              <w:bottom w:val="single" w:color="FFFFFF" w:sz="4" w:space="0"/>
              <w:right w:val="single" w:color="4F81BD" w:sz="8" w:space="0"/>
            </w:tcBorders>
            <w:shd w:val="clear" w:color="auto" w:fill="4F81BD"/>
          </w:tcPr>
          <w:p>
            <w:pPr>
              <w:jc w:val="left"/>
              <w:rPr>
                <w:rFonts w:hint="default"/>
                <w:color w:val="FFFFFF"/>
                <w:vertAlign w:val="baseline"/>
              </w:rPr>
            </w:pPr>
            <w:r>
              <w:rPr>
                <w:rFonts w:hint="default"/>
                <w:color w:val="FFFFFF"/>
                <w:vertAlign w:val="baseline"/>
              </w:rPr>
              <w:t>Probleem</w:t>
            </w:r>
          </w:p>
        </w:tc>
        <w:tc>
          <w:tcPr>
            <w:tcW w:w="2595" w:type="dxa"/>
            <w:tcBorders>
              <w:top w:val="single" w:color="4F81BD" w:sz="8" w:space="0"/>
              <w:left w:val="single" w:color="4F81BD" w:sz="8" w:space="0"/>
              <w:bottom w:val="single" w:color="FFFFFF" w:sz="4" w:space="0"/>
              <w:right w:val="single" w:color="4F81BD" w:sz="8" w:space="0"/>
            </w:tcBorders>
            <w:shd w:val="clear" w:color="auto" w:fill="4F81BD"/>
          </w:tcPr>
          <w:p>
            <w:pPr>
              <w:jc w:val="left"/>
              <w:rPr>
                <w:rFonts w:hint="default"/>
                <w:color w:val="FFFFFF"/>
                <w:vertAlign w:val="baseline"/>
              </w:rPr>
            </w:pPr>
            <w:r>
              <w:rPr>
                <w:rFonts w:hint="default"/>
                <w:color w:val="FFFFFF"/>
                <w:vertAlign w:val="baseline"/>
              </w:rPr>
              <w:t>Oplossing</w:t>
            </w:r>
          </w:p>
        </w:tc>
      </w:tr>
      <w:tr>
        <w:tc>
          <w:tcPr>
            <w:tcW w:w="1779" w:type="dxa"/>
            <w:tcBorders>
              <w:top w:val="single" w:color="FFFFFF" w:sz="4"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CVE-1999-0678</w:t>
            </w:r>
          </w:p>
        </w:tc>
        <w:tc>
          <w:tcPr>
            <w:tcW w:w="2505" w:type="dxa"/>
            <w:tcBorders>
              <w:top w:val="single" w:color="FFFFFF" w:sz="4"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ServerRoot is de root folder waar documentatie terug te vinden is</w:t>
            </w:r>
          </w:p>
        </w:tc>
        <w:tc>
          <w:tcPr>
            <w:tcW w:w="2385" w:type="dxa"/>
            <w:tcBorders>
              <w:top w:val="single" w:color="FFFFFF" w:sz="4"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Door een configuratie fout kan iedereen van buiten af aan de documentatie</w:t>
            </w:r>
          </w:p>
        </w:tc>
        <w:tc>
          <w:tcPr>
            <w:tcW w:w="2595" w:type="dxa"/>
            <w:tcBorders>
              <w:top w:val="single" w:color="FFFFFF" w:sz="4"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Verwijs de serverroot naar /etc/httpd. Dit is de standaard configuratie.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CVE-1999-0618</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 xml:space="preserve">rexecd of remote execution service loop op poort 512 en zorgt ervoor dat een gebruiker van op afstand commandos kan sturen naar de OS. </w:t>
            </w:r>
          </w:p>
          <w:p>
            <w:pPr>
              <w:jc w:val="left"/>
              <w:rPr>
                <w:rFonts w:hint="default"/>
                <w:color w:val="000000"/>
                <w:vertAlign w:val="baseline"/>
              </w:rPr>
            </w:pPr>
            <w:r>
              <w:rPr>
                <w:rFonts w:hint="default"/>
                <w:color w:val="000000"/>
                <w:vertAlign w:val="baseline"/>
              </w:rPr>
              <w:t>Hiervoor moet de gebruiker zijn username en wachtwoord meegeven.</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Het wachtwoord wordt niet geëncrypteerd bij het sturen naar de OS.</w:t>
            </w:r>
          </w:p>
          <w:p>
            <w:pPr>
              <w:jc w:val="left"/>
              <w:rPr>
                <w:rFonts w:hint="default"/>
                <w:color w:val="000000"/>
                <w:vertAlign w:val="baseline"/>
              </w:rPr>
            </w:pPr>
            <w:r>
              <w:rPr>
                <w:rFonts w:hint="default"/>
                <w:color w:val="000000"/>
                <w:vertAlign w:val="baseline"/>
              </w:rPr>
              <w:t>De service vertrouwd sommige hosts en IPs blindelings</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 xml:space="preserve">De rexecd of remote execution service uitzetten en de Firewall configureren zodat TCP over poort 512 niet mogelijk is </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CVE-1999-0651</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rlogin of remote login is een nuttige software voor linux waarbij een gebruiker over een netwerk kan inloggen op een andere computer</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Het wachtwoord wordt niet geëncrypteerd bij het sturen naar de OS.</w:t>
            </w:r>
          </w:p>
          <w:p>
            <w:pPr>
              <w:jc w:val="left"/>
              <w:rPr>
                <w:rFonts w:hint="default"/>
                <w:color w:val="000000"/>
                <w:vertAlign w:val="baseline"/>
              </w:rPr>
            </w:pPr>
            <w:r>
              <w:rPr>
                <w:rFonts w:hint="default"/>
                <w:color w:val="000000"/>
                <w:vertAlign w:val="baseline"/>
              </w:rPr>
              <w:t>Mogelijkheid om authenticatie te omzeilen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Verwijder de 'login' lijn in /etc/inetd.conf en herstart het proces</w:t>
            </w:r>
          </w:p>
          <w:p>
            <w:pPr>
              <w:jc w:val="left"/>
              <w:rPr>
                <w:rFonts w:hint="default"/>
                <w:color w:val="000000"/>
                <w:vertAlign w:val="baseline"/>
              </w:rPr>
            </w:pPr>
            <w:r>
              <w:rPr>
                <w:rFonts w:hint="default"/>
                <w:color w:val="000000"/>
                <w:vertAlign w:val="baseline"/>
              </w:rPr>
              <w:t>Deactiveer de functie en gebruik SSH</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CVE-2008-0166</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OpenSSL biedt een versleutelde transportlaag bovenop de normale.</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Er wordt een verouderde versie van OpenSSL gebruikt. Deze versie genereerd voorspelbare nummers waardoor het gemakkelijk wordt voor een hacker om dit te "brute forcen".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OpenSSL updaten naar de nieuwste versie.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CVE-2010-2075</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UnrealIRCD is een open source IRC server. IRC (Internet Relay Chat) is een application layer protocol in vorm van chat over het internet.</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Deze versie bevat een Trojan Horse in het bestand: DEBUG3_DOLOG_SYSTEM. Hierdoor kunnen hackers commando's uitvoeren.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hint="default"/>
                <w:color w:val="000000"/>
                <w:vertAlign w:val="baseline"/>
              </w:rPr>
            </w:pPr>
            <w:r>
              <w:rPr>
                <w:rFonts w:hint="default"/>
                <w:color w:val="000000"/>
                <w:vertAlign w:val="baseline"/>
              </w:rPr>
              <w:t>UnrealIRCd van de officiele site downloaden en installeren</w:t>
            </w:r>
          </w:p>
        </w:tc>
      </w:tr>
    </w:tbl>
    <w:p>
      <w:pPr>
        <w:jc w:val="left"/>
        <w:rPr>
          <w:rFonts w:hint="default"/>
        </w:rPr>
      </w:pPr>
    </w:p>
    <w:p>
      <w:pPr>
        <w:pStyle w:val="3"/>
        <w:jc w:val="left"/>
        <w:rPr>
          <w:rFonts w:hint="default"/>
          <w:color w:val="0070C0"/>
        </w:rPr>
      </w:pPr>
      <w:r>
        <w:rPr>
          <w:rFonts w:hint="default"/>
          <w:color w:val="0070C0"/>
        </w:rPr>
        <w:t>OpenVAS</w:t>
      </w:r>
    </w:p>
    <w:p>
      <w:pPr>
        <w:jc w:val="left"/>
        <w:rPr>
          <w:rFonts w:hint="default"/>
          <w:color w:val="0070C0"/>
        </w:rPr>
      </w:pPr>
    </w:p>
    <w:p>
      <w:pPr>
        <w:pStyle w:val="3"/>
        <w:jc w:val="left"/>
        <w:rPr>
          <w:rFonts w:hint="default"/>
          <w:color w:val="0070C0"/>
        </w:rPr>
      </w:pPr>
      <w:r>
        <w:rPr>
          <w:rFonts w:hint="default"/>
          <w:color w:val="0070C0"/>
        </w:rPr>
        <w:t>Armitage</w:t>
      </w:r>
    </w:p>
    <w:p>
      <w:pPr>
        <w:pStyle w:val="4"/>
        <w:jc w:val="left"/>
        <w:rPr>
          <w:rFonts w:hint="default"/>
        </w:rPr>
      </w:pPr>
      <w:r>
        <w:rPr>
          <w:rFonts w:hint="default"/>
        </w:rPr>
        <w:t>Hoe Armitage gebruiken</w:t>
      </w:r>
    </w:p>
    <w:p>
      <w:pPr>
        <w:jc w:val="left"/>
        <w:rPr>
          <w:rFonts w:hint="default"/>
        </w:rPr>
      </w:pPr>
      <w:r>
        <w:rPr>
          <w:rFonts w:hint="default"/>
        </w:rPr>
        <w:t>Om te beginnen starten we Kali-Linux op en openen we Armitage. Wanneer er geen verbinding kan gemaakt worden met de database voeren we het volgende commando uit:</w:t>
      </w:r>
    </w:p>
    <w:p>
      <w:pPr>
        <w:ind w:firstLine="700" w:firstLineChars="0"/>
        <w:jc w:val="left"/>
        <w:rPr>
          <w:rFonts w:hint="default"/>
        </w:rPr>
      </w:pPr>
      <w:r>
        <w:rPr>
          <w:rFonts w:hint="default"/>
        </w:rPr>
        <w:t>Sudo /etc/init.d/postgresql start</w:t>
      </w:r>
    </w:p>
    <w:p>
      <w:pPr>
        <w:jc w:val="left"/>
        <w:rPr>
          <w:rFonts w:hint="default"/>
        </w:rPr>
      </w:pPr>
      <w:r>
        <w:rPr>
          <w:rFonts w:hint="default"/>
        </w:rPr>
        <w:drawing>
          <wp:anchor distT="0" distB="0" distL="114300" distR="114300" simplePos="0" relativeHeight="251658240" behindDoc="0" locked="0" layoutInCell="1" allowOverlap="1">
            <wp:simplePos x="0" y="0"/>
            <wp:positionH relativeFrom="column">
              <wp:posOffset>485775</wp:posOffset>
            </wp:positionH>
            <wp:positionV relativeFrom="paragraph">
              <wp:posOffset>9525</wp:posOffset>
            </wp:positionV>
            <wp:extent cx="4513580" cy="2273300"/>
            <wp:effectExtent l="0" t="0" r="1270" b="12700"/>
            <wp:wrapTopAndBottom/>
            <wp:docPr id="2" name="Picture 2" descr="Armitag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mitageMain"/>
                    <pic:cNvPicPr>
                      <a:picLocks noChangeAspect="1"/>
                    </pic:cNvPicPr>
                  </pic:nvPicPr>
                  <pic:blipFill>
                    <a:blip r:embed="rId10"/>
                    <a:stretch>
                      <a:fillRect/>
                    </a:stretch>
                  </pic:blipFill>
                  <pic:spPr>
                    <a:xfrm>
                      <a:off x="0" y="0"/>
                      <a:ext cx="4513580" cy="2273300"/>
                    </a:xfrm>
                    <a:prstGeom prst="rect">
                      <a:avLst/>
                    </a:prstGeom>
                  </pic:spPr>
                </pic:pic>
              </a:graphicData>
            </a:graphic>
          </wp:anchor>
        </w:drawing>
      </w:r>
    </w:p>
    <w:p>
      <w:pPr>
        <w:jc w:val="left"/>
        <w:rPr>
          <w:rFonts w:hint="default"/>
        </w:rPr>
      </w:pPr>
      <w:r>
        <w:rPr>
          <w:rFonts w:hint="default"/>
        </w:rPr>
        <w:t>Nadat Armitage is opgestart voegen we een nieuwe host toe. Door op ‘Hosts’ te klikken en daarna ‘Add hosts’. Hier voeren we dan het ip-address van onze ‘target’ in.</w:t>
      </w:r>
    </w:p>
    <w:p>
      <w:pPr>
        <w:jc w:val="left"/>
        <w:rPr>
          <w:rFonts w:hint="default"/>
        </w:rPr>
      </w:pPr>
      <w:r>
        <w:rPr>
          <w:rFonts w:hint="default"/>
        </w:rPr>
        <w:drawing>
          <wp:inline distT="0" distB="0" distL="114300" distR="114300">
            <wp:extent cx="5758180" cy="1463040"/>
            <wp:effectExtent l="0" t="0" r="13970" b="3810"/>
            <wp:docPr id="3" name="Picture 3" descr="Metasploitable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asploitableIP"/>
                    <pic:cNvPicPr>
                      <a:picLocks noChangeAspect="1"/>
                    </pic:cNvPicPr>
                  </pic:nvPicPr>
                  <pic:blipFill>
                    <a:blip r:embed="rId11"/>
                    <a:stretch>
                      <a:fillRect/>
                    </a:stretch>
                  </pic:blipFill>
                  <pic:spPr>
                    <a:xfrm>
                      <a:off x="0" y="0"/>
                      <a:ext cx="5758180" cy="1463040"/>
                    </a:xfrm>
                    <a:prstGeom prst="rect">
                      <a:avLst/>
                    </a:prstGeom>
                  </pic:spPr>
                </pic:pic>
              </a:graphicData>
            </a:graphic>
          </wp:inline>
        </w:drawing>
      </w:r>
    </w:p>
    <w:p>
      <w:pPr>
        <w:jc w:val="left"/>
        <w:rPr>
          <w:rFonts w:hint="default"/>
        </w:rPr>
      </w:pPr>
      <w:r>
        <w:rPr>
          <w:rFonts w:hint="default"/>
        </w:rPr>
        <w:t>Daarna kunnen we ‘Attacks’ zoeken die kunnen worden uitgevoerdt op onze host. Dit doen we door op ‘Attacks’ te klikken en dan op ‘Find attacks’.</w:t>
      </w:r>
    </w:p>
    <w:p>
      <w:pPr>
        <w:jc w:val="left"/>
        <w:rPr>
          <w:rFonts w:hint="default"/>
        </w:rPr>
      </w:pPr>
      <w:r>
        <w:rPr>
          <w:rFonts w:hint="default"/>
          <w:color w:val="auto"/>
        </w:rPr>
        <w:drawing>
          <wp:anchor distT="0" distB="0" distL="114300" distR="114300" simplePos="0" relativeHeight="251660288" behindDoc="0" locked="0" layoutInCell="1" allowOverlap="1">
            <wp:simplePos x="0" y="0"/>
            <wp:positionH relativeFrom="column">
              <wp:posOffset>3343275</wp:posOffset>
            </wp:positionH>
            <wp:positionV relativeFrom="paragraph">
              <wp:posOffset>6985</wp:posOffset>
            </wp:positionV>
            <wp:extent cx="2429510" cy="1301115"/>
            <wp:effectExtent l="0" t="0" r="8890" b="13335"/>
            <wp:wrapSquare wrapText="bothSides"/>
            <wp:docPr id="5" name="Picture 5" descr="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ttacks"/>
                    <pic:cNvPicPr>
                      <a:picLocks noChangeAspect="1"/>
                    </pic:cNvPicPr>
                  </pic:nvPicPr>
                  <pic:blipFill>
                    <a:blip r:embed="rId12"/>
                    <a:stretch>
                      <a:fillRect/>
                    </a:stretch>
                  </pic:blipFill>
                  <pic:spPr>
                    <a:xfrm>
                      <a:off x="0" y="0"/>
                      <a:ext cx="2429510" cy="1301115"/>
                    </a:xfrm>
                    <a:prstGeom prst="rect">
                      <a:avLst/>
                    </a:prstGeom>
                  </pic:spPr>
                </pic:pic>
              </a:graphicData>
            </a:graphic>
          </wp:anchor>
        </w:drawing>
      </w:r>
      <w:r>
        <w:rPr>
          <w:rFonts w:hint="default"/>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3181350" cy="1329055"/>
            <wp:effectExtent l="0" t="0" r="0" b="4445"/>
            <wp:wrapSquare wrapText="bothSides"/>
            <wp:docPr id="4" name="Picture 4" descr="Find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Attacks"/>
                    <pic:cNvPicPr>
                      <a:picLocks noChangeAspect="1"/>
                    </pic:cNvPicPr>
                  </pic:nvPicPr>
                  <pic:blipFill>
                    <a:blip r:embed="rId13"/>
                    <a:stretch>
                      <a:fillRect/>
                    </a:stretch>
                  </pic:blipFill>
                  <pic:spPr>
                    <a:xfrm>
                      <a:off x="0" y="0"/>
                      <a:ext cx="3181350" cy="1329055"/>
                    </a:xfrm>
                    <a:prstGeom prst="rect">
                      <a:avLst/>
                    </a:prstGeom>
                  </pic:spPr>
                </pic:pic>
              </a:graphicData>
            </a:graphic>
          </wp:anchor>
        </w:drawing>
      </w:r>
    </w:p>
    <w:p>
      <w:pPr>
        <w:rPr>
          <w:rFonts w:hint="default"/>
        </w:rPr>
      </w:pPr>
      <w:r>
        <w:rPr>
          <w:rFonts w:hint="default"/>
        </w:rPr>
        <w:t>Nu kunnen we met rechter muisknop op onze host ‘Attacks’ selecteren en uitvoeren. Wanneer een ‘attack’ gelukt is opent er meestal een nieuwe shell en krijgen we dit te zien.</w:t>
      </w:r>
    </w:p>
    <w:p>
      <w:pPr>
        <w:rPr>
          <w:rFonts w:hint="default"/>
        </w:rPr>
      </w:pPr>
      <w:r>
        <w:rPr>
          <w:rFonts w:hint="default"/>
        </w:rPr>
        <w:drawing>
          <wp:anchor distT="0" distB="0" distL="114300" distR="114300" simplePos="0" relativeHeight="251661312" behindDoc="0" locked="0" layoutInCell="1" allowOverlap="1">
            <wp:simplePos x="0" y="0"/>
            <wp:positionH relativeFrom="column">
              <wp:posOffset>2371725</wp:posOffset>
            </wp:positionH>
            <wp:positionV relativeFrom="paragraph">
              <wp:posOffset>285750</wp:posOffset>
            </wp:positionV>
            <wp:extent cx="1209675" cy="1095375"/>
            <wp:effectExtent l="0" t="0" r="9525" b="9525"/>
            <wp:wrapTopAndBottom/>
            <wp:docPr id="6" name="Picture 6" descr="Ex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ploit"/>
                    <pic:cNvPicPr>
                      <a:picLocks noChangeAspect="1"/>
                    </pic:cNvPicPr>
                  </pic:nvPicPr>
                  <pic:blipFill>
                    <a:blip r:embed="rId14"/>
                    <a:stretch>
                      <a:fillRect/>
                    </a:stretch>
                  </pic:blipFill>
                  <pic:spPr>
                    <a:xfrm>
                      <a:off x="0" y="0"/>
                      <a:ext cx="1209675" cy="1095375"/>
                    </a:xfrm>
                    <a:prstGeom prst="rect">
                      <a:avLst/>
                    </a:prstGeom>
                  </pic:spPr>
                </pic:pic>
              </a:graphicData>
            </a:graphic>
          </wp:anchor>
        </w:drawing>
      </w:r>
    </w:p>
    <w:p>
      <w:pPr>
        <w:pStyle w:val="4"/>
        <w:jc w:val="left"/>
        <w:rPr>
          <w:rFonts w:hint="default"/>
          <w:color w:val="auto"/>
        </w:rPr>
      </w:pPr>
      <w:r>
        <w:rPr>
          <w:rFonts w:hint="default"/>
          <w:color w:val="auto"/>
        </w:rPr>
        <w:t>Windows OS</w:t>
      </w:r>
    </w:p>
    <w:p>
      <w:pPr>
        <w:jc w:val="left"/>
        <w:rPr>
          <w:rFonts w:hint="default"/>
          <w:color w:val="auto"/>
        </w:rPr>
      </w:pPr>
    </w:p>
    <w:p>
      <w:pPr>
        <w:pStyle w:val="4"/>
        <w:jc w:val="left"/>
        <w:rPr>
          <w:lang w:val="nl-BE"/>
        </w:rPr>
      </w:pPr>
      <w:r>
        <w:rPr>
          <w:lang w:val="nl-BE"/>
        </w:rPr>
        <w:t>Metasploitable OS</w:t>
      </w:r>
    </w:p>
    <w:p>
      <w:pPr>
        <w:rPr>
          <w:rFonts w:hint="default"/>
        </w:rPr>
      </w:pPr>
      <w:r>
        <w:t xml:space="preserve">Op de Metasploitable OS hebben we veel </w:t>
      </w:r>
      <w:r>
        <w:rPr>
          <w:rFonts w:hint="default"/>
        </w:rPr>
        <w:t>‘attacks’ uitgevoerd. We hebben eerst bij elke categorie een check gedaan welke exploits zouden kunnen werken. Daarna hebben we deze uitgeprobeerd. Uiteraard hebben we niet alles kunnen uitproberen maar dit was ons resultaat.</w:t>
      </w:r>
    </w:p>
    <w:tbl>
      <w:tblPr>
        <w:tblStyle w:val="1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49"/>
        <w:gridCol w:w="4443"/>
        <w:gridCol w:w="3096"/>
      </w:tblGrid>
      <w:tr>
        <w:tc>
          <w:tcPr>
            <w:tcW w:w="1749"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color w:val="FFFFFF"/>
                <w:vertAlign w:val="baseline"/>
              </w:rPr>
            </w:pPr>
            <w:r>
              <w:rPr>
                <w:rFonts w:hint="default"/>
                <w:color w:val="FFFFFF"/>
                <w:vertAlign w:val="baseline"/>
              </w:rPr>
              <w:t>Categorie</w:t>
            </w:r>
          </w:p>
        </w:tc>
        <w:tc>
          <w:tcPr>
            <w:tcW w:w="4443"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color w:val="FFFFFF"/>
                <w:vertAlign w:val="baseline"/>
              </w:rPr>
            </w:pPr>
            <w:r>
              <w:rPr>
                <w:rFonts w:hint="default"/>
                <w:color w:val="FFFFFF"/>
                <w:vertAlign w:val="baseline"/>
              </w:rPr>
              <w:t>Exploitable</w:t>
            </w:r>
          </w:p>
        </w:tc>
        <w:tc>
          <w:tcPr>
            <w:tcW w:w="3096"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color w:val="FFFFFF"/>
                <w:vertAlign w:val="baseline"/>
              </w:rPr>
            </w:pPr>
            <w:r>
              <w:rPr>
                <w:rFonts w:hint="default"/>
                <w:color w:val="FFFFFF"/>
                <w:vertAlign w:val="baseline"/>
              </w:rPr>
              <w:t>Exploit</w:t>
            </w:r>
          </w:p>
        </w:tc>
      </w:tr>
      <w:tr>
        <w:tc>
          <w:tcPr>
            <w:tcW w:w="1749" w:type="dxa"/>
            <w:tcBorders>
              <w:top w:val="single" w:color="FFFFFF" w:sz="4"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FTP</w:t>
            </w:r>
          </w:p>
        </w:tc>
        <w:tc>
          <w:tcPr>
            <w:tcW w:w="4443" w:type="dxa"/>
            <w:tcBorders>
              <w:top w:val="single" w:color="FFFFFF" w:sz="4"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Exploitable</w:t>
            </w:r>
          </w:p>
        </w:tc>
        <w:tc>
          <w:tcPr>
            <w:tcW w:w="3096" w:type="dxa"/>
            <w:tcBorders>
              <w:top w:val="single" w:color="FFFFFF" w:sz="4"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vsftpd_234_backdoor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Http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Not Exploitable (niet alles geprobeerd)</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IRC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unreal_ircd_3281_backdoor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Misc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java_rmi_server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Postgress</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Realserver</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w:t>
            </w:r>
            <w:r>
              <w:rPr>
                <w:rFonts w:hint="default"/>
                <w:color w:val="000000"/>
                <w:vertAlign w:val="baseline"/>
              </w:rPr>
              <w:t xml:space="preserv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Samba</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E</w:t>
            </w:r>
            <w:r>
              <w:rPr>
                <w:rFonts w:hint="default"/>
                <w:color w:val="000000"/>
                <w:vertAlign w:val="baseline"/>
              </w:rPr>
              <w:t>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usermap_script</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Smtp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Ssh</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Telnet</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Vnc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Webapp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Wyse</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r>
              <w:rPr>
                <w:rFonts w:hint="default"/>
                <w:color w:val="000000"/>
                <w:vertAlign w:val="baseline"/>
              </w:rPr>
              <w:t>X11</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rPr>
            </w:pPr>
          </w:p>
        </w:tc>
      </w:tr>
    </w:tbl>
    <w:p>
      <w:pPr>
        <w:rPr>
          <w:rFonts w:hint="default"/>
        </w:rPr>
      </w:pPr>
    </w:p>
    <w:p>
      <w:pPr>
        <w:jc w:val="left"/>
      </w:pPr>
      <w:r>
        <w:t>Armitage is gemakkelijk en zeer krachtig. Op enkele minuten tijd zat je binnen in het systeem. Uiteraard was Metasploitable OS een gemakkelijk target maar toch waren we verbaasd over hoe snel en gemakkelijk het wel niet was om binnen te geraken.</w:t>
      </w:r>
      <w:bookmarkStart w:id="0" w:name="_GoBack"/>
      <w:bookmarkEnd w:id="0"/>
    </w:p>
    <w:p>
      <w:pPr>
        <w:pStyle w:val="4"/>
        <w:jc w:val="left"/>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Zen Hei"/>
    <w:panose1 w:val="00000000000000000000"/>
    <w:charset w:val="86"/>
    <w:family w:val="auto"/>
    <w:pitch w:val="default"/>
    <w:sig w:usb0="00000000" w:usb1="00000000" w:usb2="00000000" w:usb3="00000000" w:csb0="00000000" w:csb1="00000000"/>
  </w:font>
  <w:font w:name="Tahoma">
    <w:altName w:val="Ubuntu"/>
    <w:panose1 w:val="020B0604030504040204"/>
    <w:charset w:val="00"/>
    <w:family w:val="decorative"/>
    <w:pitch w:val="default"/>
    <w:sig w:usb0="00000000" w:usb1="00000000" w:usb2="00000029" w:usb3="00000000" w:csb0="000101FF" w:csb1="00000000"/>
  </w:font>
  <w:font w:name="Symbol">
    <w:altName w:val="Open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0"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00000000" w:usb1="00000000" w:usb2="00000000" w:usb3="00000000" w:csb0="0000000D" w:csb1="00000000"/>
  </w:font>
  <w:font w:name="Tw Cen MT">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0"/>
      <w:tblW w:w="921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606"/>
      <w:gridCol w:w="4606"/>
    </w:tblGrid>
    <w:tr>
      <w:tc>
        <w:tcPr>
          <w:tcW w:w="4606" w:type="dxa"/>
        </w:tcPr>
        <w:p>
          <w:pPr>
            <w:pStyle w:val="6"/>
            <w:rPr>
              <w:sz w:val="18"/>
              <w:szCs w:val="18"/>
            </w:rPr>
          </w:pPr>
        </w:p>
      </w:tc>
      <w:tc>
        <w:tcPr>
          <w:tcW w:w="4606" w:type="dxa"/>
        </w:tcPr>
        <w:p>
          <w:pPr>
            <w:pStyle w:val="6"/>
            <w:jc w:val="right"/>
            <w:rPr>
              <w:sz w:val="18"/>
              <w:szCs w:val="18"/>
            </w:rPr>
          </w:pPr>
          <w:r>
            <w:rPr>
              <w:rStyle w:val="9"/>
              <w:sz w:val="18"/>
              <w:szCs w:val="18"/>
            </w:rPr>
            <w:fldChar w:fldCharType="begin"/>
          </w:r>
          <w:r>
            <w:rPr>
              <w:rStyle w:val="9"/>
              <w:sz w:val="18"/>
              <w:szCs w:val="18"/>
            </w:rPr>
            <w:instrText xml:space="preserve"> PAGE </w:instrText>
          </w:r>
          <w:r>
            <w:rPr>
              <w:rStyle w:val="9"/>
              <w:sz w:val="18"/>
              <w:szCs w:val="18"/>
            </w:rPr>
            <w:fldChar w:fldCharType="separate"/>
          </w:r>
          <w:r>
            <w:rPr>
              <w:rStyle w:val="9"/>
              <w:sz w:val="18"/>
              <w:szCs w:val="18"/>
            </w:rPr>
            <w:t>1</w:t>
          </w:r>
          <w:r>
            <w:rPr>
              <w:rStyle w:val="9"/>
              <w:sz w:val="18"/>
              <w:szCs w:val="18"/>
            </w:rPr>
            <w:fldChar w:fldCharType="end"/>
          </w:r>
          <w:r>
            <w:rPr>
              <w:rStyle w:val="9"/>
              <w:sz w:val="18"/>
              <w:szCs w:val="18"/>
            </w:rPr>
            <w:t>/</w:t>
          </w:r>
          <w:r>
            <w:rPr>
              <w:rStyle w:val="9"/>
              <w:sz w:val="18"/>
              <w:szCs w:val="18"/>
            </w:rPr>
            <w:fldChar w:fldCharType="begin"/>
          </w:r>
          <w:r>
            <w:rPr>
              <w:rStyle w:val="9"/>
              <w:sz w:val="18"/>
              <w:szCs w:val="18"/>
            </w:rPr>
            <w:instrText xml:space="preserve"> NUMPAGES </w:instrText>
          </w:r>
          <w:r>
            <w:rPr>
              <w:rStyle w:val="9"/>
              <w:sz w:val="18"/>
              <w:szCs w:val="18"/>
            </w:rPr>
            <w:fldChar w:fldCharType="separate"/>
          </w:r>
          <w:r>
            <w:rPr>
              <w:rStyle w:val="9"/>
              <w:sz w:val="18"/>
              <w:szCs w:val="18"/>
            </w:rPr>
            <w:t>1</w:t>
          </w:r>
          <w:r>
            <w:rPr>
              <w:rStyle w:val="9"/>
              <w:sz w:val="18"/>
              <w:szCs w:val="18"/>
            </w:rPr>
            <w:fldChar w:fldCharType="end"/>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rPr>
        <w:lang w:eastAsia="nl-BE"/>
      </w:rPr>
      <w:drawing>
        <wp:anchor distT="0" distB="0" distL="114300" distR="114300" simplePos="0" relativeHeight="251658240" behindDoc="1" locked="0" layoutInCell="1" allowOverlap="1">
          <wp:simplePos x="0" y="0"/>
          <wp:positionH relativeFrom="page">
            <wp:posOffset>3834130</wp:posOffset>
          </wp:positionH>
          <wp:positionV relativeFrom="page">
            <wp:posOffset>240030</wp:posOffset>
          </wp:positionV>
          <wp:extent cx="2825750" cy="5397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7C34"/>
    <w:rsid w:val="002456D5"/>
    <w:rsid w:val="00761AA2"/>
    <w:rsid w:val="00945EEC"/>
    <w:rsid w:val="00C06072"/>
    <w:rsid w:val="00C63EAC"/>
    <w:rsid w:val="5FCC83D3"/>
    <w:rsid w:val="6F7F5D92"/>
    <w:rsid w:val="7FD8B2BC"/>
    <w:rsid w:val="7FFF6F18"/>
    <w:rsid w:val="CDBAC5C6"/>
    <w:rsid w:val="E9FE11DB"/>
    <w:rsid w:val="F6FE2021"/>
  </w:rsids>
  <w:themeFontLang w:val="nl-BE"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nl-BE"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pPr>
      <w:spacing w:after="0" w:line="240" w:lineRule="auto"/>
    </w:pPr>
    <w:rPr>
      <w:rFonts w:ascii="Tahoma" w:hAnsi="Tahoma" w:cs="Tahoma"/>
      <w:sz w:val="16"/>
      <w:szCs w:val="16"/>
    </w:rPr>
  </w:style>
  <w:style w:type="paragraph" w:styleId="6">
    <w:name w:val="footer"/>
    <w:basedOn w:val="1"/>
    <w:link w:val="15"/>
    <w:unhideWhenUsed/>
    <w:uiPriority w:val="0"/>
    <w:pPr>
      <w:tabs>
        <w:tab w:val="center" w:pos="4536"/>
        <w:tab w:val="right" w:pos="9072"/>
      </w:tabs>
      <w:spacing w:after="0" w:line="240" w:lineRule="auto"/>
    </w:pPr>
  </w:style>
  <w:style w:type="paragraph" w:styleId="7">
    <w:name w:val="header"/>
    <w:basedOn w:val="1"/>
    <w:link w:val="14"/>
    <w:unhideWhenUsed/>
    <w:qFormat/>
    <w:uiPriority w:val="99"/>
    <w:pPr>
      <w:tabs>
        <w:tab w:val="center" w:pos="4536"/>
        <w:tab w:val="right" w:pos="9072"/>
      </w:tabs>
      <w:spacing w:after="0" w:line="240" w:lineRule="auto"/>
    </w:pPr>
  </w:style>
  <w:style w:type="character" w:styleId="9">
    <w:name w:val="page number"/>
    <w:basedOn w:val="8"/>
    <w:qFormat/>
    <w:uiPriority w:val="0"/>
  </w:style>
  <w:style w:type="table" w:styleId="11">
    <w:name w:val="Table Grid"/>
    <w:basedOn w:val="1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Tussentitel"/>
    <w:basedOn w:val="1"/>
    <w:link w:val="13"/>
    <w:qFormat/>
    <w:uiPriority w:val="0"/>
    <w:rPr>
      <w:b/>
      <w:sz w:val="24"/>
      <w:szCs w:val="24"/>
    </w:rPr>
  </w:style>
  <w:style w:type="character" w:customStyle="1" w:styleId="13">
    <w:name w:val="Tussentitel Char"/>
    <w:basedOn w:val="8"/>
    <w:link w:val="12"/>
    <w:uiPriority w:val="0"/>
    <w:rPr>
      <w:b/>
      <w:sz w:val="24"/>
      <w:szCs w:val="24"/>
    </w:rPr>
  </w:style>
  <w:style w:type="character" w:customStyle="1" w:styleId="14">
    <w:name w:val="Koptekst Char"/>
    <w:basedOn w:val="8"/>
    <w:link w:val="7"/>
    <w:qFormat/>
    <w:uiPriority w:val="99"/>
  </w:style>
  <w:style w:type="character" w:customStyle="1" w:styleId="15">
    <w:name w:val="Voettekst Char"/>
    <w:basedOn w:val="8"/>
    <w:link w:val="6"/>
    <w:uiPriority w:val="0"/>
  </w:style>
  <w:style w:type="character" w:customStyle="1" w:styleId="16">
    <w:name w:val="Ballontekst Char"/>
    <w:basedOn w:val="8"/>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atch">
  <a:themeElements>
    <a:clrScheme name="Thatch">
      <a:dk1>
        <a:sysClr val="windowText" lastClr="5B6469"/>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11</Characters>
  <Lines>1</Lines>
  <Paragraphs>1</Paragraphs>
  <TotalTime>0</TotalTime>
  <ScaleCrop>false</ScaleCrop>
  <LinksUpToDate>false</LinksUpToDate>
  <CharactersWithSpaces>12</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2013-10-15T09:15:00Z</dcterms:created>
  <dc:creator>Nick Daenen</dc:creator>
  <cp:lastModifiedBy>timothy</cp:lastModifiedBy>
  <cp:lastPrinted>2013-10-15T09:58:00Z</cp:lastPrinted>
  <dcterms:modified xsi:type="dcterms:W3CDTF">2016-05-19T20:53:56Z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2067-10.1.0.5503</vt:lpwstr>
  </property>
</Properties>
</file>