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b/>
          <w:sz w:val="32"/>
        </w:rPr>
        <w:t>附件2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期货交易咨询业务档案卷内文件目录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档号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2160"/>
            <w:gridSpan w:val="2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案卷题名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2160"/>
            <w:gridSpan w:val="2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客户名称</w:t>
            </w:r>
          </w:p>
        </w:tc>
        <w:tc>
          <w:tcPr>
            <w:tcW w:type="dxa" w:w="3240"/>
            <w:gridSpan w:val="3"/>
          </w:tcPr>
          <w:p>
            <w:pPr>
              <w:ind w:left="288"/>
              <w:jc w:val="left"/>
            </w:pPr>
            <w:r>
              <w:t>毛喜瑞交易咨询项目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客户代码</w:t>
            </w:r>
          </w:p>
        </w:tc>
        <w:tc>
          <w:tcPr>
            <w:tcW w:type="dxa" w:w="3240"/>
            <w:gridSpan w:val="3"/>
          </w:tcPr>
          <w:p>
            <w:pPr>
              <w:ind w:left="288"/>
              <w:jc w:val="left"/>
            </w:pPr>
            <w:r>
              <w:t>8005108018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文件题名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责任者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经办人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材料性质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起止页号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0001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1、申报OA-毛喜瑞.pdf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20251110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t>0002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2、业务（含产品、服务）洗钱风险评估表-毛喜瑞交易咨询项目.xlsx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20251110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t>0003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3、合规审核意见截图.png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20251111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t>0004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4、交易咨询部-魏子骥-期货交易咨询业务风险等级评估表.pdf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20251114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t>0005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5、毛喜瑞伟交易咨询项目评审表决票.pdf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20251110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t>0006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6、期货交易咨询业务内部评审小组立项讨论会纪要-毛喜瑞交易咨询项目.pdf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20251114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t>0007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7、用印OA-毛喜瑞与申银万国期货有限公司之期货交易咨询协议.pdf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20260127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t>0008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t>8、毛喜瑞与申银万国期货有限公司之期货交易咨询协议.pdf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t>20251231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