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C80D9" w14:textId="77777777" w:rsidR="00F73528" w:rsidRDefault="00000000">
      <w:pPr>
        <w:spacing w:after="160" w:line="300" w:lineRule="auto"/>
      </w:pPr>
      <w:r>
        <w:rPr>
          <w:b/>
          <w:bCs/>
          <w:sz w:val="40"/>
          <w:szCs w:val="40"/>
        </w:rPr>
        <w:t>Code review — round 2: answers to your notes</w:t>
      </w:r>
    </w:p>
    <w:p w14:paraId="0227F527" w14:textId="55E76BB0" w:rsidR="00F73528" w:rsidRDefault="00000000">
      <w:pPr>
        <w:spacing w:after="100"/>
      </w:pPr>
      <w:r>
        <w:rPr>
          <w:color w:val="595959"/>
        </w:rPr>
        <w:t>2026-08-12, evening</w:t>
      </w:r>
      <w:r w:rsidR="003A66F2">
        <w:rPr>
          <w:color w:val="595959"/>
        </w:rPr>
        <w:t xml:space="preserve"> – if you say so, it is currently 8:21am Aug 12/26 where I live buddy</w:t>
      </w:r>
      <w:r>
        <w:rPr>
          <w:color w:val="595959"/>
        </w:rPr>
        <w:t>. Your blue notes all came through clearly — every one of them is answered below. Where I just need a word back there is a shaded box (eight of them, Q1–Q8); type in the box and hand the doc back like before. Everything without a box is either answered or logged as a decision — no reply needed unless I read you wrong. Per your request, this and future review docs come as Word files directly.</w:t>
      </w:r>
    </w:p>
    <w:p w14:paraId="51F4975C" w14:textId="77777777" w:rsidR="00F73528" w:rsidRDefault="00000000">
      <w:pPr>
        <w:pStyle w:val="Heading1"/>
        <w:spacing w:before="280" w:after="120"/>
      </w:pPr>
      <w:r>
        <w:rPr>
          <w:b/>
          <w:bCs/>
        </w:rPr>
        <w:t>1. Your questions, answered</w:t>
      </w:r>
    </w:p>
    <w:p w14:paraId="2F5F7520" w14:textId="77777777" w:rsidR="00F73528" w:rsidRDefault="00000000">
      <w:pPr>
        <w:spacing w:before="160" w:after="60"/>
        <w:ind w:left="288"/>
      </w:pPr>
      <w:r>
        <w:rPr>
          <w:b/>
          <w:bCs/>
          <w:color w:val="0000FF"/>
        </w:rPr>
        <w:t xml:space="preserve">You: </w:t>
      </w:r>
      <w:r>
        <w:rPr>
          <w:i/>
          <w:iCs/>
          <w:color w:val="0000FF"/>
        </w:rPr>
        <w:t>Two "isolated" definitions have quietly diverged — please explain this to me better.</w:t>
      </w:r>
    </w:p>
    <w:p w14:paraId="7C1D08CA" w14:textId="0B012374" w:rsidR="00F73528" w:rsidRDefault="00000000">
      <w:pPr>
        <w:spacing w:after="100"/>
      </w:pPr>
      <w:r>
        <w:t xml:space="preserve">The unlinked shelf decides membership by one test: does this report have any dependency edges? But the corpus now has a second kind of connection — relations (audits / supersedes) — that the test ignores. Concrete case: </w:t>
      </w:r>
      <w:proofErr w:type="spellStart"/>
      <w:r>
        <w:t>eu</w:t>
      </w:r>
      <w:proofErr w:type="spellEnd"/>
      <w:r>
        <w:t>-</w:t>
      </w:r>
      <w:proofErr w:type="spellStart"/>
      <w:r>
        <w:t>esif</w:t>
      </w:r>
      <w:proofErr w:type="spellEnd"/>
      <w:r>
        <w:t xml:space="preserve">-common-provisions-regulation and </w:t>
      </w:r>
      <w:proofErr w:type="spellStart"/>
      <w:r>
        <w:t>gb</w:t>
      </w:r>
      <w:proofErr w:type="spellEnd"/>
      <w:r>
        <w:t>-</w:t>
      </w:r>
      <w:proofErr w:type="spellStart"/>
      <w:r>
        <w:t>ukspf</w:t>
      </w:r>
      <w:proofErr w:type="spellEnd"/>
      <w:r>
        <w:t>-prospectus are joined by a documented supersedes relation (UKSPF replaced EU structural funds), yet both sit on the unlinked shelf as if nothing connects them. Today that is invisible, so it is harmless. The moment we draw relations (which you greenlit), you would see a line running between two dots on the "unlinked" shelf — a small contradiction on screen. The fix ships with the relations feature: a node with a relation gets pulled into the 3D scene rather than shelved.</w:t>
      </w:r>
      <w:r w:rsidR="003A66F2">
        <w:t xml:space="preserve"> – yes, of course pull them into the graph. </w:t>
      </w:r>
    </w:p>
    <w:p w14:paraId="00E7281F" w14:textId="77777777" w:rsidR="00F73528" w:rsidRDefault="00000000">
      <w:pPr>
        <w:spacing w:before="160" w:after="60"/>
        <w:ind w:left="288"/>
      </w:pPr>
      <w:r>
        <w:rPr>
          <w:b/>
          <w:bCs/>
          <w:color w:val="0000FF"/>
        </w:rPr>
        <w:t xml:space="preserve">You: </w:t>
      </w:r>
      <w:proofErr w:type="spellStart"/>
      <w:r>
        <w:rPr>
          <w:i/>
          <w:iCs/>
          <w:color w:val="0000FF"/>
        </w:rPr>
        <w:t>Environment.tsx</w:t>
      </w:r>
      <w:proofErr w:type="spellEnd"/>
      <w:r>
        <w:rPr>
          <w:i/>
          <w:iCs/>
          <w:color w:val="0000FF"/>
        </w:rPr>
        <w:t xml:space="preserve"> grid comment references the deleted platform — how does it reference it? Is there harm to just remove that part?</w:t>
      </w:r>
    </w:p>
    <w:p w14:paraId="3EFACEC1" w14:textId="04306E05" w:rsidR="00F73528" w:rsidRDefault="00000000">
      <w:pPr>
        <w:spacing w:after="100"/>
      </w:pPr>
      <w:r>
        <w:t>It is only a stale comment, not live code: the grid is positioned 9 units below the floor line, and the comment explains that offset as clearing "the platform slab, which is 4 units thick" — a slab that was deleted several sessions ago. The offset itself is still wanted (it keeps the grid from z-fighting with anything at the floor line); only the explanation is fiction. Zero harm to fix — one comment line. (This whole point may go moot if the grid is deleted per your Q4 answer below.)</w:t>
      </w:r>
      <w:r w:rsidR="003A66F2">
        <w:t xml:space="preserve"> – delete the grid </w:t>
      </w:r>
      <w:r w:rsidR="003A66F2">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6DAA35F" w14:textId="77777777" w:rsidR="00F73528" w:rsidRDefault="00000000">
      <w:pPr>
        <w:spacing w:before="160" w:after="60"/>
        <w:ind w:left="288"/>
      </w:pPr>
      <w:r>
        <w:rPr>
          <w:b/>
          <w:bCs/>
          <w:color w:val="0000FF"/>
        </w:rPr>
        <w:t xml:space="preserve">You: </w:t>
      </w:r>
      <w:r>
        <w:rPr>
          <w:i/>
          <w:iCs/>
          <w:color w:val="0000FF"/>
        </w:rPr>
        <w:t>Shelf pointer events — can’t we just take "none" off when this is a problem? Why not give it a scroll bar and allow the pointer to grab it?</w:t>
      </w:r>
    </w:p>
    <w:p w14:paraId="7CBA4FF8" w14:textId="77777777" w:rsidR="00F73528" w:rsidRDefault="00000000">
      <w:pPr>
        <w:spacing w:after="100"/>
      </w:pPr>
      <w:r>
        <w:t xml:space="preserve">Yes — exactly that, and you have it right. The "none" exists so the shelf’s empty corners never eat a camera drag, but it also makes the scrollbar </w:t>
      </w:r>
      <w:proofErr w:type="spellStart"/>
      <w:r>
        <w:t>ungrabbable</w:t>
      </w:r>
      <w:proofErr w:type="spellEnd"/>
      <w:r>
        <w:t xml:space="preserve"> once the shelf overflows. Fix: the panel takes the pointer back (like the legend rows already do) so the scrollbar </w:t>
      </w:r>
      <w:proofErr w:type="gramStart"/>
      <w:r>
        <w:t>works,</w:t>
      </w:r>
      <w:proofErr w:type="gramEnd"/>
      <w:r>
        <w:t xml:space="preserve"> at the cost of a small dead rectangle for orbit-drags — 232×85 pixels in a corner, which nobody orbits from anyway. Will do.</w:t>
      </w:r>
    </w:p>
    <w:p w14:paraId="129AE2D8" w14:textId="77777777" w:rsidR="00F73528" w:rsidRDefault="00000000">
      <w:pPr>
        <w:spacing w:before="160" w:after="60"/>
        <w:ind w:left="288"/>
      </w:pPr>
      <w:r>
        <w:rPr>
          <w:b/>
          <w:bCs/>
          <w:color w:val="0000FF"/>
        </w:rPr>
        <w:t xml:space="preserve">You: </w:t>
      </w:r>
      <w:proofErr w:type="spellStart"/>
      <w:r>
        <w:rPr>
          <w:i/>
          <w:iCs/>
          <w:color w:val="0000FF"/>
        </w:rPr>
        <w:t>CalendarPanel</w:t>
      </w:r>
      <w:proofErr w:type="spellEnd"/>
      <w:r>
        <w:rPr>
          <w:i/>
          <w:iCs/>
          <w:color w:val="0000FF"/>
        </w:rPr>
        <w:t xml:space="preserve"> </w:t>
      </w:r>
      <w:proofErr w:type="spellStart"/>
      <w:r>
        <w:rPr>
          <w:i/>
          <w:iCs/>
          <w:color w:val="0000FF"/>
        </w:rPr>
        <w:t>byId</w:t>
      </w:r>
      <w:proofErr w:type="spellEnd"/>
      <w:r>
        <w:rPr>
          <w:i/>
          <w:iCs/>
          <w:color w:val="0000FF"/>
        </w:rPr>
        <w:t xml:space="preserve"> — I don’t know if I understand this. Why can’t we just use the one already there?</w:t>
      </w:r>
    </w:p>
    <w:p w14:paraId="5AFD34C9" w14:textId="720EB5D9" w:rsidR="00F73528" w:rsidRDefault="00000000">
      <w:pPr>
        <w:spacing w:after="100"/>
      </w:pPr>
      <w:r>
        <w:t xml:space="preserve">We can, and we will. The graph object already carries a ready-made </w:t>
      </w:r>
      <w:proofErr w:type="spellStart"/>
      <w:r>
        <w:t>id→report</w:t>
      </w:r>
      <w:proofErr w:type="spellEnd"/>
      <w:r>
        <w:t xml:space="preserve"> lookup map (</w:t>
      </w:r>
      <w:proofErr w:type="spellStart"/>
      <w:proofErr w:type="gramStart"/>
      <w:r>
        <w:t>graph.byId</w:t>
      </w:r>
      <w:proofErr w:type="spellEnd"/>
      <w:proofErr w:type="gramEnd"/>
      <w:r>
        <w:t>). The calendar panel builds its own identical copy of that map every time the graph changes. It costs almost nothing — it is just redundant code, the kind of small untidiness you fix when passing through the file. One-line change.</w:t>
      </w:r>
      <w:r w:rsidR="003A66F2">
        <w:t xml:space="preserve"> tidy it up</w:t>
      </w:r>
    </w:p>
    <w:p w14:paraId="3EDEE553" w14:textId="77777777" w:rsidR="00F73528" w:rsidRDefault="00000000">
      <w:pPr>
        <w:spacing w:before="160" w:after="60"/>
        <w:ind w:left="288"/>
      </w:pPr>
      <w:r>
        <w:rPr>
          <w:b/>
          <w:bCs/>
          <w:color w:val="0000FF"/>
        </w:rPr>
        <w:t xml:space="preserve">You: </w:t>
      </w:r>
      <w:r>
        <w:rPr>
          <w:i/>
          <w:iCs/>
          <w:color w:val="0000FF"/>
        </w:rPr>
        <w:t>What I looked for and did not find — walk me through this.</w:t>
      </w:r>
    </w:p>
    <w:p w14:paraId="081086FC" w14:textId="26EF9BC0" w:rsidR="00F73528" w:rsidRDefault="00000000">
      <w:pPr>
        <w:spacing w:after="100"/>
      </w:pPr>
      <w:r>
        <w:t xml:space="preserve">That paragraph is the "checked for and cleared" list — things that are commonly broken in codebases like this, which I specifically hunted for and confirmed are fine in yours. In plain terms, four hunts: (1) Memory leaks — when nodes are hidden and re-shown, does the app keep references to dead 3D objects until the browser bloats? I traced the create/destroy cycle against the library’s own source: it is clean. (2) Stale closures — a classic React bug where a callback keeps reading last week’s value of something. Your code routes all of these through refs consistently; found none. (3) The orb edge collapse — when several real </w:t>
      </w:r>
      <w:r>
        <w:lastRenderedPageBreak/>
        <w:t xml:space="preserve">edges merge into one orb-to-orb line, they share an internal key; I checked whether that causes wrong colours or focus bugs. It cannot, because the merged edges are identical in every way that matters. (4) The ranking firewall — I tried to find any path by which relations, </w:t>
      </w:r>
      <w:proofErr w:type="spellStart"/>
      <w:r>
        <w:t>part_of</w:t>
      </w:r>
      <w:proofErr w:type="spellEnd"/>
      <w:r>
        <w:t>, or implied edges could leak into the authority maths. There is none; the isolation is structural. Net meaning: I went looking for the usual rot and did not find it.</w:t>
      </w:r>
      <w:r w:rsidR="003A66F2">
        <w:t xml:space="preserve"> I wonder…. Should we give those edges a glow relative to how many share the line? Can you find an example in the graph for me to focus on and judge with my eyes? </w:t>
      </w:r>
    </w:p>
    <w:p w14:paraId="7D171F40" w14:textId="77777777" w:rsidR="00F73528" w:rsidRDefault="00000000">
      <w:pPr>
        <w:spacing w:before="160" w:after="60"/>
        <w:ind w:left="288"/>
      </w:pPr>
      <w:r>
        <w:rPr>
          <w:b/>
          <w:bCs/>
          <w:color w:val="0000FF"/>
        </w:rPr>
        <w:t xml:space="preserve">You: </w:t>
      </w:r>
      <w:r>
        <w:rPr>
          <w:i/>
          <w:iCs/>
          <w:color w:val="0000FF"/>
        </w:rPr>
        <w:t xml:space="preserve">Global "by level" filter row — there is a way now with the buttons on the bottom middle of the page. / </w:t>
      </w:r>
      <w:proofErr w:type="gramStart"/>
      <w:r>
        <w:rPr>
          <w:i/>
          <w:iCs/>
          <w:color w:val="0000FF"/>
        </w:rPr>
        <w:t>what</w:t>
      </w:r>
      <w:proofErr w:type="gramEnd"/>
      <w:r>
        <w:rPr>
          <w:i/>
          <w:iCs/>
          <w:color w:val="0000FF"/>
        </w:rPr>
        <w:t xml:space="preserve"> is this?</w:t>
      </w:r>
    </w:p>
    <w:p w14:paraId="7B16D2CE" w14:textId="77777777" w:rsidR="00F73528" w:rsidRDefault="00000000">
      <w:pPr>
        <w:spacing w:after="100"/>
      </w:pPr>
      <w:r>
        <w:t xml:space="preserve">Close, but the bottom buttons do something different, and the difference is the whole point. The tier buttons are cumulative depth: each one adds a level on top of everything above it. You can never show municipalities while hiding states, and you can never be at "Everything" minus municipal — the walk is strictly top-down. The by-level row is per-level on/off switches: one click cuts all municipal reports worldwide while keeping everything </w:t>
      </w:r>
      <w:proofErr w:type="gramStart"/>
      <w:r>
        <w:t>else, or</w:t>
      </w:r>
      <w:proofErr w:type="gramEnd"/>
      <w:r>
        <w:t xml:space="preserve"> shows only states across every country. Today that exact move — your own words were "cut the municipal noise out across the world" — costs unticking Municipal under all eight country groups, one at a time. The row makes it one click. It slots into the left sidebar above the country groups; the tier bar stays 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360"/>
      </w:tblGrid>
      <w:tr w:rsidR="00F73528" w14:paraId="05DE3DDC" w14:textId="77777777">
        <w:tc>
          <w:tcPr>
            <w:tcW w:w="9360" w:type="dxa"/>
            <w:tcBorders>
              <w:top w:val="single" w:sz="4" w:space="0" w:color="B8C6DC"/>
              <w:left w:val="single" w:sz="4" w:space="0" w:color="B8C6DC"/>
              <w:bottom w:val="single" w:sz="4" w:space="0" w:color="B8C6DC"/>
              <w:right w:val="single" w:sz="4" w:space="0" w:color="B8C6DC"/>
            </w:tcBorders>
            <w:shd w:val="clear" w:color="auto" w:fill="EEF3FB"/>
          </w:tcPr>
          <w:p w14:paraId="35A23314" w14:textId="77777777" w:rsidR="00F73528" w:rsidRDefault="00000000">
            <w:r>
              <w:rPr>
                <w:b/>
                <w:bCs/>
                <w:color w:val="2E5AAC"/>
                <w:sz w:val="20"/>
                <w:szCs w:val="20"/>
              </w:rPr>
              <w:t>Q7 — By-level filter row: build it? (yes / no / change something) — your answer:</w:t>
            </w:r>
          </w:p>
          <w:p w14:paraId="2A8E650D" w14:textId="77777777" w:rsidR="00F73528" w:rsidRDefault="00000000">
            <w:r>
              <w:t xml:space="preserve"> </w:t>
            </w:r>
          </w:p>
          <w:p w14:paraId="33C774F2" w14:textId="6C9A7B9A" w:rsidR="00F73528" w:rsidRDefault="00000000">
            <w:r>
              <w:t xml:space="preserve"> </w:t>
            </w:r>
            <w:r w:rsidR="003A66F2">
              <w:t>Build it</w:t>
            </w:r>
          </w:p>
        </w:tc>
      </w:tr>
    </w:tbl>
    <w:p w14:paraId="39F7E183" w14:textId="77777777" w:rsidR="00F73528" w:rsidRDefault="00F73528">
      <w:pPr>
        <w:spacing w:after="120"/>
      </w:pPr>
    </w:p>
    <w:p w14:paraId="75932817" w14:textId="77777777" w:rsidR="00F73528" w:rsidRDefault="00000000">
      <w:pPr>
        <w:spacing w:before="160" w:after="60"/>
        <w:ind w:left="288"/>
      </w:pPr>
      <w:r>
        <w:rPr>
          <w:b/>
          <w:bCs/>
          <w:color w:val="0000FF"/>
        </w:rPr>
        <w:t xml:space="preserve">You: </w:t>
      </w:r>
      <w:proofErr w:type="spellStart"/>
      <w:r>
        <w:rPr>
          <w:i/>
          <w:iCs/>
          <w:color w:val="0000FF"/>
        </w:rPr>
        <w:t>runFit</w:t>
      </w:r>
      <w:proofErr w:type="spellEnd"/>
      <w:r>
        <w:rPr>
          <w:i/>
          <w:iCs/>
          <w:color w:val="0000FF"/>
        </w:rPr>
        <w:t xml:space="preserve"> aspect-ratio fix — what’s this about?</w:t>
      </w:r>
    </w:p>
    <w:p w14:paraId="297601D4" w14:textId="77777777" w:rsidR="00F73528" w:rsidRDefault="00000000">
      <w:pPr>
        <w:spacing w:after="100"/>
      </w:pPr>
      <w:r>
        <w:t xml:space="preserve">When the camera auto-frames the graph, it only measures the window’s height, not its width. On a normal widescreen monitor that is fine (width is generous). But in a narrow window — say the browser snapped to half your screen — the graph can be wider than the view and the left/right edges get cropped at the "fitted" view. The fix makes the auto-fit respect both dimensions. You said </w:t>
      </w:r>
      <w:proofErr w:type="gramStart"/>
      <w:r>
        <w:t>ok</w:t>
      </w:r>
      <w:proofErr w:type="gramEnd"/>
      <w:r>
        <w:t xml:space="preserve"> — it’s on the build list.</w:t>
      </w:r>
    </w:p>
    <w:p w14:paraId="2F30E514" w14:textId="77777777" w:rsidR="00F73528" w:rsidRDefault="00000000">
      <w:pPr>
        <w:spacing w:before="160" w:after="60"/>
        <w:ind w:left="288"/>
      </w:pPr>
      <w:r>
        <w:rPr>
          <w:b/>
          <w:bCs/>
          <w:color w:val="0000FF"/>
        </w:rPr>
        <w:t xml:space="preserve">You: </w:t>
      </w:r>
      <w:r>
        <w:rPr>
          <w:i/>
          <w:iCs/>
          <w:color w:val="0000FF"/>
        </w:rPr>
        <w:t>Render relations — what do you mean? (you also wrote "do" beside the same item in the features section)</w:t>
      </w:r>
    </w:p>
    <w:p w14:paraId="01D0F98D" w14:textId="1C201C45" w:rsidR="00F73528" w:rsidRDefault="00000000">
      <w:pPr>
        <w:spacing w:after="100"/>
      </w:pPr>
      <w:r>
        <w:t xml:space="preserve">Your corpus records two kinds of connection. Dependencies (811 of them) are "A is calculated from B" — those are the lines you see. Relations (17 of them) are documented facts that are not dependencies: X audits Y (New Zealand’s Auditor-General signing Niue’s accounts), and X supersedes Y (SNA 2025 replacing SNA 2008; UKSPF replacing EU structural funds). Right </w:t>
      </w:r>
      <w:proofErr w:type="gramStart"/>
      <w:r>
        <w:t>now</w:t>
      </w:r>
      <w:proofErr w:type="gramEnd"/>
      <w:r>
        <w:t xml:space="preserve"> those 17 are invisible — they exist in the data and appear in the validator printout, and nothing on screen ever draws them. "Rendering" them means: a visually distinct line style (thin, no pulses, clearly not a dependency), a mention on the hover card ("supersedes SNA 2008"), and searchability. Your project’s own rule said build this once there were five; there are seventeen. Taking your two notes together as a yes — it’s on the build list.</w:t>
      </w:r>
      <w:r w:rsidR="00D95671">
        <w:t xml:space="preserve"> – can we make them dotted lines? I realize this conflicts with the implied edges. I am thinking the implied edges should go, they do not belong </w:t>
      </w:r>
      <w:proofErr w:type="gramStart"/>
      <w:r w:rsidR="00D95671">
        <w:t>here</w:t>
      </w:r>
      <w:proofErr w:type="gramEnd"/>
      <w:r w:rsidR="00D95671">
        <w:t xml:space="preserve"> do they? </w:t>
      </w:r>
    </w:p>
    <w:p w14:paraId="49023C10" w14:textId="77777777" w:rsidR="00F73528" w:rsidRDefault="00000000">
      <w:pPr>
        <w:spacing w:before="160" w:after="60"/>
        <w:ind w:left="288"/>
      </w:pPr>
      <w:r>
        <w:rPr>
          <w:b/>
          <w:bCs/>
          <w:color w:val="0000FF"/>
        </w:rPr>
        <w:t xml:space="preserve">You: </w:t>
      </w:r>
      <w:r>
        <w:rPr>
          <w:i/>
          <w:iCs/>
          <w:color w:val="0000FF"/>
        </w:rPr>
        <w:t xml:space="preserve">Extend </w:t>
      </w:r>
      <w:proofErr w:type="spellStart"/>
      <w:r>
        <w:rPr>
          <w:i/>
          <w:iCs/>
          <w:color w:val="0000FF"/>
        </w:rPr>
        <w:t>focusPalette</w:t>
      </w:r>
      <w:proofErr w:type="spellEnd"/>
      <w:r>
        <w:rPr>
          <w:i/>
          <w:iCs/>
          <w:color w:val="0000FF"/>
        </w:rPr>
        <w:t xml:space="preserve"> into the 3D scene — what do you mean?</w:t>
      </w:r>
    </w:p>
    <w:p w14:paraId="75C7013C" w14:textId="0BC1D5C9" w:rsidR="00F73528" w:rsidRDefault="00000000">
      <w:pPr>
        <w:spacing w:after="100"/>
      </w:pPr>
      <w:r>
        <w:t xml:space="preserve">When you filter down to one country, the sidebar already switches that country’s levels to a spread-out, high-contrast palette (because there is no other country left to clash with). The 3D nodes do not follow — they keep the tight family shades. Extending it means the spheres recolour too when one country is isolated. But here is my honest question back: this idea predates the shape system. Now that shape carries the level (cube = national, octahedron = state…), the within-country colour problem this was meant to solve may already be </w:t>
      </w:r>
      <w:r>
        <w:lastRenderedPageBreak/>
        <w:t xml:space="preserve">solved. My suggestion: look at a single-country filter in the current build </w:t>
      </w:r>
      <w:proofErr w:type="gramStart"/>
      <w:r>
        <w:t>first, and</w:t>
      </w:r>
      <w:proofErr w:type="gramEnd"/>
      <w:r>
        <w:t xml:space="preserve"> only build this if the levels still feel indistinguishable.</w:t>
      </w:r>
      <w:r w:rsidR="00D95671">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360"/>
      </w:tblGrid>
      <w:tr w:rsidR="00F73528" w14:paraId="05A3F4A7" w14:textId="77777777">
        <w:tc>
          <w:tcPr>
            <w:tcW w:w="9360" w:type="dxa"/>
            <w:tcBorders>
              <w:top w:val="single" w:sz="4" w:space="0" w:color="B8C6DC"/>
              <w:left w:val="single" w:sz="4" w:space="0" w:color="B8C6DC"/>
              <w:bottom w:val="single" w:sz="4" w:space="0" w:color="B8C6DC"/>
              <w:right w:val="single" w:sz="4" w:space="0" w:color="B8C6DC"/>
            </w:tcBorders>
            <w:shd w:val="clear" w:color="auto" w:fill="EEF3FB"/>
          </w:tcPr>
          <w:p w14:paraId="6E876051" w14:textId="77777777" w:rsidR="00F73528" w:rsidRDefault="00000000">
            <w:r>
              <w:rPr>
                <w:b/>
                <w:bCs/>
                <w:color w:val="2E5AAC"/>
                <w:sz w:val="20"/>
                <w:szCs w:val="20"/>
              </w:rPr>
              <w:t xml:space="preserve">Q8 — </w:t>
            </w:r>
            <w:proofErr w:type="spellStart"/>
            <w:r>
              <w:rPr>
                <w:b/>
                <w:bCs/>
                <w:color w:val="2E5AAC"/>
                <w:sz w:val="20"/>
                <w:szCs w:val="20"/>
              </w:rPr>
              <w:t>focusPalette</w:t>
            </w:r>
            <w:proofErr w:type="spellEnd"/>
            <w:r>
              <w:rPr>
                <w:b/>
                <w:bCs/>
                <w:color w:val="2E5AAC"/>
                <w:sz w:val="20"/>
                <w:szCs w:val="20"/>
              </w:rPr>
              <w:t xml:space="preserve"> in the 3D scene: build it, or skip as superseded by the shape system? — your answer:</w:t>
            </w:r>
          </w:p>
          <w:p w14:paraId="5A86F7A3" w14:textId="77777777" w:rsidR="00F73528" w:rsidRDefault="00000000">
            <w:r>
              <w:t xml:space="preserve"> </w:t>
            </w:r>
          </w:p>
          <w:p w14:paraId="06D71DEE" w14:textId="26333898" w:rsidR="00F73528" w:rsidRDefault="00000000">
            <w:r>
              <w:t xml:space="preserve"> </w:t>
            </w:r>
            <w:r w:rsidR="00D95671">
              <w:t xml:space="preserve">I don’t like the shapes. The speres need to recolor and the sidebar needs a small sidebar illustrating what the colors translate to. </w:t>
            </w:r>
            <w:proofErr w:type="gramStart"/>
            <w:r w:rsidR="00D95671">
              <w:t>So</w:t>
            </w:r>
            <w:proofErr w:type="gramEnd"/>
            <w:r w:rsidR="00D95671">
              <w:t xml:space="preserve"> if I pick </w:t>
            </w:r>
            <w:proofErr w:type="gramStart"/>
            <w:r w:rsidR="00D95671">
              <w:t>Canada</w:t>
            </w:r>
            <w:proofErr w:type="gramEnd"/>
            <w:r w:rsidR="00D95671">
              <w:t xml:space="preserve"> I want to see distinct colored levels. Red, green, purple, etc.</w:t>
            </w:r>
          </w:p>
        </w:tc>
      </w:tr>
    </w:tbl>
    <w:p w14:paraId="7DED5F30" w14:textId="77777777" w:rsidR="00F73528" w:rsidRDefault="00F73528">
      <w:pPr>
        <w:spacing w:after="120"/>
      </w:pPr>
    </w:p>
    <w:p w14:paraId="1669C14E" w14:textId="77777777" w:rsidR="00F73528" w:rsidRDefault="00000000">
      <w:pPr>
        <w:spacing w:before="160" w:after="60"/>
        <w:ind w:left="288"/>
      </w:pPr>
      <w:r>
        <w:rPr>
          <w:b/>
          <w:bCs/>
          <w:color w:val="0000FF"/>
        </w:rPr>
        <w:t xml:space="preserve">You: </w:t>
      </w:r>
      <w:r>
        <w:rPr>
          <w:i/>
          <w:iCs/>
          <w:color w:val="0000FF"/>
        </w:rPr>
        <w:t xml:space="preserve">Verify domain filter under combined </w:t>
      </w:r>
      <w:proofErr w:type="spellStart"/>
      <w:r>
        <w:rPr>
          <w:i/>
          <w:iCs/>
          <w:color w:val="0000FF"/>
        </w:rPr>
        <w:t>scope+domain</w:t>
      </w:r>
      <w:proofErr w:type="spellEnd"/>
      <w:r>
        <w:rPr>
          <w:i/>
          <w:iCs/>
          <w:color w:val="0000FF"/>
        </w:rPr>
        <w:t xml:space="preserve"> filtering — why? What do you mean?</w:t>
      </w:r>
    </w:p>
    <w:p w14:paraId="72299364" w14:textId="0B57DBE0" w:rsidR="00F73528" w:rsidRDefault="00000000">
      <w:pPr>
        <w:spacing w:after="100"/>
      </w:pPr>
      <w:r>
        <w:t>The Subject filter (inflation, labour, benefits…) was built on 08-10 and works on its own. What was never explicitly tested is using both filter axes at once — e.g. "Canada" + "inflation" — and confirming the counts, the camera re-fit, the calendar, and search all agree on the combined result. There is no known bug; it is a ten-minute check crossing off a "never actually exercised" combination. The handoff flagged it, so it stays on the list until someone does the ten minutes.</w:t>
      </w:r>
      <w:r w:rsidR="00D95671">
        <w:t xml:space="preserve"> </w:t>
      </w:r>
    </w:p>
    <w:p w14:paraId="023FA990" w14:textId="6DD7FBE2" w:rsidR="00D95671" w:rsidRDefault="00D95671">
      <w:pPr>
        <w:spacing w:after="100"/>
      </w:pPr>
      <w:r>
        <w:t xml:space="preserve">I see it sort of working, the issue I have is that they are all selected so I need to select each of the 22 one </w:t>
      </w:r>
      <w:proofErr w:type="gramStart"/>
      <w:r>
        <w:t>at  time</w:t>
      </w:r>
      <w:proofErr w:type="gramEnd"/>
      <w:r>
        <w:t xml:space="preserve"> then select the filter I want. What I expect is the one I want isolated I click and it happens, if I want to view any combo of </w:t>
      </w:r>
      <w:proofErr w:type="gramStart"/>
      <w:r>
        <w:t>domain</w:t>
      </w:r>
      <w:proofErr w:type="gramEnd"/>
      <w:r>
        <w:t xml:space="preserve"> I should be able to view it. And if I want to focus on </w:t>
      </w:r>
      <w:proofErr w:type="spellStart"/>
      <w:r>
        <w:t>canada’s</w:t>
      </w:r>
      <w:proofErr w:type="spellEnd"/>
      <w:r>
        <w:t xml:space="preserve"> municipal </w:t>
      </w:r>
      <w:r w:rsidR="009873CD">
        <w:t xml:space="preserve">level I want that too. </w:t>
      </w:r>
    </w:p>
    <w:p w14:paraId="40085D29" w14:textId="77777777" w:rsidR="00F73528" w:rsidRDefault="00000000">
      <w:pPr>
        <w:spacing w:before="160" w:after="60"/>
        <w:ind w:left="288"/>
      </w:pPr>
      <w:r>
        <w:rPr>
          <w:b/>
          <w:bCs/>
          <w:color w:val="0000FF"/>
        </w:rPr>
        <w:t xml:space="preserve">You: </w:t>
      </w:r>
      <w:r>
        <w:rPr>
          <w:i/>
          <w:iCs/>
          <w:color w:val="0000FF"/>
        </w:rPr>
        <w:t xml:space="preserve">Search-during-settle </w:t>
      </w:r>
      <w:proofErr w:type="spellStart"/>
      <w:r>
        <w:rPr>
          <w:i/>
          <w:iCs/>
          <w:color w:val="0000FF"/>
        </w:rPr>
        <w:t>flyTo</w:t>
      </w:r>
      <w:proofErr w:type="spellEnd"/>
      <w:r>
        <w:rPr>
          <w:i/>
          <w:iCs/>
          <w:color w:val="0000FF"/>
        </w:rPr>
        <w:t xml:space="preserve"> — explain please, I am lost. I think what you mean is the search term leads directly to the camera focusing on it? This is a good idea but not calculated every keystroke.</w:t>
      </w:r>
    </w:p>
    <w:p w14:paraId="1BEAD539" w14:textId="77777777" w:rsidR="00F73528" w:rsidRDefault="00000000">
      <w:pPr>
        <w:spacing w:after="100"/>
      </w:pPr>
      <w:r>
        <w:t>Good news: it already works the way you want. The camera only flies when you pick a result (Enter or click) — never per keystroke; typing just updates the list. The note is about one narrow edge case: if you search and pick a result within the first second or two after the app loads — while the layout is still doing its very first settle — the selection happens but the flight is silently skipped, and nothing tells you. The fix is tiny: remember the request and fly as soon as the first fit lands. Doing it — no decision needed.</w:t>
      </w:r>
    </w:p>
    <w:p w14:paraId="1B02B1B1" w14:textId="77777777" w:rsidR="00F73528" w:rsidRDefault="00000000">
      <w:pPr>
        <w:spacing w:before="160" w:after="60"/>
        <w:ind w:left="288"/>
      </w:pPr>
      <w:r>
        <w:rPr>
          <w:b/>
          <w:bCs/>
          <w:color w:val="0000FF"/>
        </w:rPr>
        <w:t xml:space="preserve">You: </w:t>
      </w:r>
      <w:r>
        <w:rPr>
          <w:i/>
          <w:iCs/>
          <w:color w:val="0000FF"/>
        </w:rPr>
        <w:t xml:space="preserve">Soften </w:t>
      </w:r>
      <w:proofErr w:type="spellStart"/>
      <w:r>
        <w:rPr>
          <w:i/>
          <w:iCs/>
          <w:color w:val="0000FF"/>
        </w:rPr>
        <w:t>authority→radius</w:t>
      </w:r>
      <w:proofErr w:type="spellEnd"/>
      <w:r>
        <w:rPr>
          <w:i/>
          <w:iCs/>
          <w:color w:val="0000FF"/>
        </w:rPr>
        <w:t xml:space="preserve"> exponent — what is this again? Is this the size of the node?</w:t>
      </w:r>
    </w:p>
    <w:p w14:paraId="51679FCD" w14:textId="77777777" w:rsidR="00F73528" w:rsidRDefault="00000000">
      <w:pPr>
        <w:spacing w:after="100"/>
      </w:pPr>
      <w:r>
        <w:t xml:space="preserve">Yes — it is the curve that converts a report’s authority score into its sphere size. Today it uses a square root, which spends most of the visual range separating the giants and squeezes everything below mid-rank into nearly the same small size. "Softening" means flattening that curve so mid-tier reports become distinguishable from small ones — the trade-off is the very top nodes stand out a little less. Rather than argue it in words, I’ll bring you an A/B screenshot pair (current vs softened) next code </w:t>
      </w:r>
      <w:proofErr w:type="gramStart"/>
      <w:r>
        <w:t>session</w:t>
      </w:r>
      <w:proofErr w:type="gramEnd"/>
      <w:r>
        <w:t xml:space="preserve"> and you pick. No box needed until you can see it.</w:t>
      </w:r>
    </w:p>
    <w:p w14:paraId="0F6A66C6" w14:textId="77777777" w:rsidR="00F73528" w:rsidRDefault="00000000">
      <w:pPr>
        <w:spacing w:before="160" w:after="60"/>
        <w:ind w:left="288"/>
      </w:pPr>
      <w:r>
        <w:rPr>
          <w:b/>
          <w:bCs/>
          <w:color w:val="0000FF"/>
        </w:rPr>
        <w:t xml:space="preserve">You: </w:t>
      </w:r>
      <w:r>
        <w:rPr>
          <w:i/>
          <w:iCs/>
          <w:color w:val="0000FF"/>
        </w:rPr>
        <w:t>Runaway zoom — how do I tell? Is that 2.6 the view?</w:t>
      </w:r>
    </w:p>
    <w:p w14:paraId="7FF57199" w14:textId="77777777" w:rsidR="00F73528" w:rsidRDefault="00000000">
      <w:pPr>
        <w:spacing w:after="100"/>
      </w:pPr>
      <w:r>
        <w:t xml:space="preserve">2.6× is the zoom slider’s own maximum zoom-out — the farthest the camera can legally sit, 2.6 times the fitted distance. The old bug walked the camera outward forever; the clamp I added means a recurrence now behaves differently: the graph would drift smaller on its own, without </w:t>
      </w:r>
      <w:proofErr w:type="gramStart"/>
      <w:r>
        <w:t>you</w:t>
      </w:r>
      <w:proofErr w:type="gramEnd"/>
      <w:r>
        <w:t xml:space="preserve"> scrolling, and then stop at a distinctly far-away view instead of receding endlessly. </w:t>
      </w:r>
      <w:proofErr w:type="gramStart"/>
      <w:r>
        <w:t>So</w:t>
      </w:r>
      <w:proofErr w:type="gramEnd"/>
      <w:r>
        <w:t xml:space="preserve"> the tell is exactly that: it moved by itself and then stuck at max-distance. If you ever see it, all I need from you is: what was the last thing you touched before it started (a slider? a tier button? just idle?). Everything else is instrumented on my side.</w:t>
      </w:r>
    </w:p>
    <w:p w14:paraId="0613F937" w14:textId="77777777" w:rsidR="00F73528" w:rsidRDefault="00000000">
      <w:pPr>
        <w:spacing w:before="160" w:after="60"/>
        <w:ind w:left="288"/>
      </w:pPr>
      <w:r>
        <w:rPr>
          <w:b/>
          <w:bCs/>
          <w:color w:val="0000FF"/>
        </w:rPr>
        <w:t xml:space="preserve">You: </w:t>
      </w:r>
      <w:r>
        <w:rPr>
          <w:i/>
          <w:iCs/>
          <w:color w:val="0000FF"/>
        </w:rPr>
        <w:t xml:space="preserve">Auto orbit is good… what </w:t>
      </w:r>
      <w:proofErr w:type="gramStart"/>
      <w:r>
        <w:rPr>
          <w:i/>
          <w:iCs/>
          <w:color w:val="0000FF"/>
        </w:rPr>
        <w:t>is</w:t>
      </w:r>
      <w:proofErr w:type="gramEnd"/>
      <w:r>
        <w:rPr>
          <w:i/>
          <w:iCs/>
          <w:color w:val="0000FF"/>
        </w:rPr>
        <w:t xml:space="preserve"> node drag? Node drag can be forgotten about, I don’t want this.</w:t>
      </w:r>
    </w:p>
    <w:p w14:paraId="474C658F" w14:textId="77777777" w:rsidR="00F73528" w:rsidRDefault="00000000">
      <w:pPr>
        <w:spacing w:after="100"/>
      </w:pPr>
      <w:r>
        <w:t xml:space="preserve">Relax — it does not exist. I checked the code and the library your build actually </w:t>
      </w:r>
      <w:proofErr w:type="gramStart"/>
      <w:r>
        <w:t>uses:</w:t>
      </w:r>
      <w:proofErr w:type="gramEnd"/>
      <w:r>
        <w:t xml:space="preserve"> there is no node-dragging anywhere (an earlier handoff note about it was mistaken; that feature belongs to a different wrapper library you don’t use). Nothing to disable, one less suspect for the zoom loop, and your "I don’t want this" is logged so nobody adds it. Auto-orbit noted as working well for you.</w:t>
      </w:r>
    </w:p>
    <w:p w14:paraId="58E0E9BA" w14:textId="77777777" w:rsidR="00F73528" w:rsidRDefault="00000000">
      <w:pPr>
        <w:spacing w:before="160" w:after="60"/>
        <w:ind w:left="288"/>
      </w:pPr>
      <w:r>
        <w:rPr>
          <w:b/>
          <w:bCs/>
          <w:color w:val="0000FF"/>
        </w:rPr>
        <w:lastRenderedPageBreak/>
        <w:t xml:space="preserve">You: </w:t>
      </w:r>
      <w:r>
        <w:rPr>
          <w:i/>
          <w:iCs/>
          <w:color w:val="0000FF"/>
        </w:rPr>
        <w:t>Mutual pairs — what instances?</w:t>
      </w:r>
    </w:p>
    <w:p w14:paraId="4773690D" w14:textId="77777777" w:rsidR="00F73528" w:rsidRDefault="00000000">
      <w:pPr>
        <w:spacing w:after="100"/>
      </w:pPr>
      <w:r>
        <w:t xml:space="preserve">A mutual pair is two reports that cite each other in both directions, which makes rank recirculate between them instead of flowing onward. There are now three in the corpus (the review said two — a third has since appeared, all documented, all legitimate): (1) Canada’s quarterly National Accounts ↔ the Supply and Use Tables; (2) the Supply and Use Tables ↔ the Industrial Product Price Index (the IPPI deflates the tables; the tables reweight the IPPI); (3) New Zealand’s Public Audit Act 2001 ↔ Public Finance Act 1989, which each name the other. Measured effect so far: the first pair lifted scores corpus-wide (+7.2% median), the second slightly lowered them (−2.4%) — opposite signs, meaning there is no simple correction to apply. Nothing is wrong; the evidence rule keeps fake pairs out, and three instances is still too few to see a pattern. "Watching, not managing" just </w:t>
      </w:r>
      <w:proofErr w:type="gramStart"/>
      <w:r>
        <w:t>means:</w:t>
      </w:r>
      <w:proofErr w:type="gramEnd"/>
      <w:r>
        <w:t xml:space="preserve"> re-measure when there are ten.</w:t>
      </w:r>
    </w:p>
    <w:p w14:paraId="3191E174" w14:textId="77777777" w:rsidR="00F73528" w:rsidRDefault="00000000">
      <w:pPr>
        <w:spacing w:before="160" w:after="60"/>
        <w:ind w:left="288"/>
      </w:pPr>
      <w:r>
        <w:rPr>
          <w:b/>
          <w:bCs/>
          <w:color w:val="0000FF"/>
        </w:rPr>
        <w:t xml:space="preserve">You: </w:t>
      </w:r>
      <w:r>
        <w:rPr>
          <w:i/>
          <w:iCs/>
          <w:color w:val="0000FF"/>
        </w:rPr>
        <w:t>ng-</w:t>
      </w:r>
      <w:proofErr w:type="spellStart"/>
      <w:r>
        <w:rPr>
          <w:i/>
          <w:iCs/>
          <w:color w:val="0000FF"/>
        </w:rPr>
        <w:t>nbs</w:t>
      </w:r>
      <w:proofErr w:type="spellEnd"/>
      <w:r>
        <w:rPr>
          <w:i/>
          <w:iCs/>
          <w:color w:val="0000FF"/>
        </w:rPr>
        <w:t>-cpi-rebasing — I don’t understand this one.</w:t>
      </w:r>
    </w:p>
    <w:p w14:paraId="4482EECA" w14:textId="57BC44C5" w:rsidR="00F73528" w:rsidRDefault="00000000">
      <w:pPr>
        <w:spacing w:after="100"/>
      </w:pPr>
      <w:r>
        <w:t xml:space="preserve">Nigeria’s statistics bureau publishes a monthly CPI — and, separately, once every decade or two, a special one-off report re-basing that CPI (new basket, new base year; last one Feb 2025). Our node is the rebasing report, but it carries </w:t>
      </w:r>
      <w:proofErr w:type="spellStart"/>
      <w:r>
        <w:t>releases_per_year</w:t>
      </w:r>
      <w:proofErr w:type="spellEnd"/>
      <w:r>
        <w:t xml:space="preserve">: 12 — it inherited the monthly CPI’s cadence by mistake. It is not monthly; it recurs at 9-to-20-year gaps. Your own convention for this shape (the "Q2 ruling", modelled on SNA 2008, which carries 0.05 ≈ every 20 years) is: a nominal low rate plus a </w:t>
      </w:r>
      <w:proofErr w:type="spellStart"/>
      <w:r>
        <w:t>cadence_note</w:t>
      </w:r>
      <w:proofErr w:type="spellEnd"/>
      <w:r>
        <w:t xml:space="preserve"> explaining reality. Proposal: </w:t>
      </w:r>
      <w:proofErr w:type="spellStart"/>
      <w:r>
        <w:t>releases_per_year</w:t>
      </w:r>
      <w:proofErr w:type="spellEnd"/>
      <w:r>
        <w:t xml:space="preserve">: 0.1 (≈ once a decade) with a note reading roughly: "Recurs only when the NBS re-bases the CPI; historical gaps 9–20 years (2009, 2025). Nominal rate per the sna-2008 convention."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360"/>
      </w:tblGrid>
      <w:tr w:rsidR="00F73528" w14:paraId="60DF064D" w14:textId="77777777">
        <w:tc>
          <w:tcPr>
            <w:tcW w:w="9360" w:type="dxa"/>
            <w:tcBorders>
              <w:top w:val="single" w:sz="4" w:space="0" w:color="B8C6DC"/>
              <w:left w:val="single" w:sz="4" w:space="0" w:color="B8C6DC"/>
              <w:bottom w:val="single" w:sz="4" w:space="0" w:color="B8C6DC"/>
              <w:right w:val="single" w:sz="4" w:space="0" w:color="B8C6DC"/>
            </w:tcBorders>
            <w:shd w:val="clear" w:color="auto" w:fill="EEF3FB"/>
          </w:tcPr>
          <w:p w14:paraId="6E0F9871" w14:textId="77777777" w:rsidR="00F73528" w:rsidRDefault="00000000">
            <w:r>
              <w:rPr>
                <w:b/>
                <w:bCs/>
                <w:color w:val="2E5AAC"/>
                <w:sz w:val="20"/>
                <w:szCs w:val="20"/>
              </w:rPr>
              <w:t>Q1 — ng-</w:t>
            </w:r>
            <w:proofErr w:type="spellStart"/>
            <w:r>
              <w:rPr>
                <w:b/>
                <w:bCs/>
                <w:color w:val="2E5AAC"/>
                <w:sz w:val="20"/>
                <w:szCs w:val="20"/>
              </w:rPr>
              <w:t>nbs</w:t>
            </w:r>
            <w:proofErr w:type="spellEnd"/>
            <w:r>
              <w:rPr>
                <w:b/>
                <w:bCs/>
                <w:color w:val="2E5AAC"/>
                <w:sz w:val="20"/>
                <w:szCs w:val="20"/>
              </w:rPr>
              <w:t xml:space="preserve">-cpi-rebasing: 0.1/year + that </w:t>
            </w:r>
            <w:proofErr w:type="spellStart"/>
            <w:r>
              <w:rPr>
                <w:b/>
                <w:bCs/>
                <w:color w:val="2E5AAC"/>
                <w:sz w:val="20"/>
                <w:szCs w:val="20"/>
              </w:rPr>
              <w:t>cadence_note</w:t>
            </w:r>
            <w:proofErr w:type="spellEnd"/>
            <w:r>
              <w:rPr>
                <w:b/>
                <w:bCs/>
                <w:color w:val="2E5AAC"/>
                <w:sz w:val="20"/>
                <w:szCs w:val="20"/>
              </w:rPr>
              <w:t xml:space="preserve"> — good? (yes / different number) — your answer:</w:t>
            </w:r>
          </w:p>
          <w:p w14:paraId="675817D1" w14:textId="77777777" w:rsidR="00F73528" w:rsidRDefault="00000000">
            <w:r>
              <w:t xml:space="preserve"> </w:t>
            </w:r>
          </w:p>
          <w:p w14:paraId="39969500" w14:textId="51E14380" w:rsidR="00F73528" w:rsidRDefault="00000000">
            <w:r>
              <w:t xml:space="preserve"> </w:t>
            </w:r>
            <w:r w:rsidR="009873CD">
              <w:t>Can’t we treat it as 2 nodes? One for the yearly</w:t>
            </w:r>
            <w:r w:rsidR="009873CD">
              <w:t xml:space="preserve"> cpi update</w:t>
            </w:r>
            <w:r w:rsidR="009873CD">
              <w:t xml:space="preserve"> and then the </w:t>
            </w:r>
            <w:r w:rsidR="009873CD">
              <w:t xml:space="preserve">one is the </w:t>
            </w:r>
            <w:r w:rsidR="009873CD">
              <w:t xml:space="preserve">newest </w:t>
            </w:r>
            <w:proofErr w:type="spellStart"/>
            <w:r w:rsidR="009873CD">
              <w:t>oneoff</w:t>
            </w:r>
            <w:proofErr w:type="spellEnd"/>
            <w:r w:rsidR="009873CD">
              <w:t>?</w:t>
            </w:r>
            <w:r w:rsidR="009873CD">
              <w:t xml:space="preserve"> We would have to have this node emitting a slow pulse and the yearly pulse. Using the </w:t>
            </w:r>
            <w:proofErr w:type="gramStart"/>
            <w:r w:rsidR="009873CD">
              <w:t>rule</w:t>
            </w:r>
            <w:proofErr w:type="gramEnd"/>
            <w:r w:rsidR="009873CD">
              <w:t xml:space="preserve"> I want to implement where edges shared are compounded (brightness/</w:t>
            </w:r>
            <w:proofErr w:type="spellStart"/>
            <w:r w:rsidR="009873CD">
              <w:t>linethickness</w:t>
            </w:r>
            <w:proofErr w:type="spellEnd"/>
            <w:r w:rsidR="009873CD">
              <w:t xml:space="preserve">) making </w:t>
            </w:r>
            <w:r w:rsidR="00E27654">
              <w:t>the edge here a pixel thicker and giving it a glow is the right que.</w:t>
            </w:r>
          </w:p>
        </w:tc>
      </w:tr>
    </w:tbl>
    <w:p w14:paraId="6701A7FD" w14:textId="77777777" w:rsidR="00F73528" w:rsidRDefault="00F73528">
      <w:pPr>
        <w:spacing w:after="120"/>
      </w:pPr>
    </w:p>
    <w:p w14:paraId="459683F4" w14:textId="77777777" w:rsidR="00F73528" w:rsidRDefault="00000000">
      <w:pPr>
        <w:spacing w:before="160" w:after="60"/>
        <w:ind w:left="288"/>
      </w:pPr>
      <w:r>
        <w:rPr>
          <w:b/>
          <w:bCs/>
          <w:color w:val="0000FF"/>
        </w:rPr>
        <w:t xml:space="preserve">You: </w:t>
      </w:r>
      <w:r>
        <w:rPr>
          <w:i/>
          <w:iCs/>
          <w:color w:val="0000FF"/>
        </w:rPr>
        <w:t>Apply-script gap — how do we fix this? Do it, make the fix 😊</w:t>
      </w:r>
    </w:p>
    <w:p w14:paraId="3A5108D3" w14:textId="77777777" w:rsidR="00F73528" w:rsidRDefault="00000000">
      <w:pPr>
        <w:spacing w:after="100"/>
      </w:pPr>
      <w:r>
        <w:t xml:space="preserve">What broke: the batch passes apply corrections via generated scripts that can overwrite a field a report already has, but silently do nothing when the field is missing (that is how a </w:t>
      </w:r>
      <w:proofErr w:type="spellStart"/>
      <w:r>
        <w:t>cadence_note</w:t>
      </w:r>
      <w:proofErr w:type="spellEnd"/>
      <w:r>
        <w:t xml:space="preserve"> insertion got dropped in batch 12 — caught only by spot-check). The fix is to the script template those passes generate from: when the key is absent, insert it in schema order after a chosen anchor key instead of no-</w:t>
      </w:r>
      <w:proofErr w:type="spellStart"/>
      <w:r>
        <w:t>op’ing</w:t>
      </w:r>
      <w:proofErr w:type="spellEnd"/>
      <w:r>
        <w:t xml:space="preserve">, and print an INSERTED/REPLACED/SKIPPED line per report so silence is impossible. There is no repo file to patch today — the scripts are generated fresh each pass — so the fix lands as part of the next structured pass’s tooling (the </w:t>
      </w:r>
      <w:proofErr w:type="spellStart"/>
      <w:r>
        <w:t>reference_period</w:t>
      </w:r>
      <w:proofErr w:type="spellEnd"/>
      <w:r>
        <w:t xml:space="preserve"> expansion, most likely), and I’ve logged it in </w:t>
      </w:r>
      <w:proofErr w:type="gramStart"/>
      <w:r>
        <w:t>memory</w:t>
      </w:r>
      <w:proofErr w:type="gramEnd"/>
      <w:r>
        <w:t xml:space="preserve"> so no future pass runs without it. Consider it done at the pattern level.</w:t>
      </w:r>
    </w:p>
    <w:p w14:paraId="51CC50AE" w14:textId="77777777" w:rsidR="00F73528" w:rsidRDefault="00000000">
      <w:pPr>
        <w:pStyle w:val="Heading1"/>
        <w:spacing w:before="280" w:after="120"/>
      </w:pPr>
      <w:r>
        <w:rPr>
          <w:b/>
          <w:bCs/>
        </w:rPr>
        <w:t>2. Decisions of yours I’ve logged (correct me if I misread)</w:t>
      </w:r>
    </w:p>
    <w:p w14:paraId="26400EBC" w14:textId="77777777" w:rsidR="00F73528" w:rsidRDefault="00000000">
      <w:pPr>
        <w:spacing w:after="100"/>
      </w:pPr>
      <w:r>
        <w:rPr>
          <w:color w:val="595959"/>
        </w:rPr>
        <w:t xml:space="preserve">All recorded in project memory as standing decisions: </w:t>
      </w:r>
    </w:p>
    <w:p w14:paraId="02820EE1" w14:textId="77777777" w:rsidR="00F73528" w:rsidRDefault="00000000">
      <w:pPr>
        <w:spacing w:after="100"/>
        <w:ind w:left="288"/>
      </w:pPr>
      <w:r>
        <w:t>•  Next branch: Africa — add the remaining nations, then deepen levels (AFRISTAT + Charter hub nodes fold in here; they were already approved and they make the seventy existing African nodes legible).</w:t>
      </w:r>
    </w:p>
    <w:p w14:paraId="52817347" w14:textId="77777777" w:rsidR="00F73528" w:rsidRDefault="00000000">
      <w:pPr>
        <w:spacing w:after="100"/>
        <w:ind w:left="288"/>
      </w:pPr>
      <w:r>
        <w:t xml:space="preserve">•  Greenlit to build, no further </w:t>
      </w:r>
      <w:proofErr w:type="gramStart"/>
      <w:r>
        <w:t>asks:</w:t>
      </w:r>
      <w:proofErr w:type="gramEnd"/>
      <w:r>
        <w:t xml:space="preserve"> relations rendering · aspect-ratio fit · calendar .</w:t>
      </w:r>
      <w:proofErr w:type="spellStart"/>
      <w:r>
        <w:t>ics</w:t>
      </w:r>
      <w:proofErr w:type="spellEnd"/>
      <w:r>
        <w:t xml:space="preserve"> export ("I need this!") · </w:t>
      </w:r>
      <w:proofErr w:type="gramStart"/>
      <w:r>
        <w:t>shareable</w:t>
      </w:r>
      <w:proofErr w:type="gramEnd"/>
      <w:r>
        <w:t xml:space="preserve"> view links ("an absolute must!") · </w:t>
      </w:r>
      <w:proofErr w:type="gramStart"/>
      <w:r>
        <w:t>standing</w:t>
      </w:r>
      <w:proofErr w:type="gramEnd"/>
      <w:r>
        <w:t xml:space="preserve"> test script · perf debug HUD · auto-loading research slices · fractional-date fix · bundle split · shared geometries · COUNTRY_LABEL backfill + flag fallback · upstream/downstream encoding · the small hygiene fixes · calendar re-check · verification-debt items · batch-12 lead re-derivation · doc-drift reconciliation (scheduled as its own full session, as you said).</w:t>
      </w:r>
    </w:p>
    <w:p w14:paraId="4B3044B5" w14:textId="77777777" w:rsidR="00F73528" w:rsidRDefault="00000000">
      <w:pPr>
        <w:spacing w:after="100"/>
        <w:ind w:left="288"/>
      </w:pPr>
      <w:r>
        <w:lastRenderedPageBreak/>
        <w:t>•  Upstream/downstream design direction: contrasting rim colour, thicker so it is noticeable. One heads-up for when I mock it: the rim currently carries country. My plan is that only while a chain is traced, the lit nodes’ rims switch to direction (say warm = feeds into, cool = built from, thick band), and country stays on the fill — you’ll get mock screenshots before anything ships.</w:t>
      </w:r>
    </w:p>
    <w:p w14:paraId="15C8C366" w14:textId="77777777" w:rsidR="00F73528" w:rsidRDefault="00000000">
      <w:pPr>
        <w:spacing w:after="100"/>
        <w:ind w:left="288"/>
      </w:pPr>
      <w:r>
        <w:t>•  Four held-back URL suggestions: apply. One catch — the detailed suggestions lived in that session’s scratch space and are gone, so I’ll re-research the four (quick) and apply with judgement: the two ECB pages and NATO as added/updated links, LADWP noting both pages since the report genuinely spans water + electric.</w:t>
      </w:r>
    </w:p>
    <w:p w14:paraId="51FCEC42" w14:textId="77777777" w:rsidR="00F73528" w:rsidRDefault="00000000">
      <w:pPr>
        <w:spacing w:after="100"/>
        <w:ind w:left="288"/>
      </w:pPr>
      <w:r>
        <w:t xml:space="preserve">•  </w:t>
      </w:r>
      <w:proofErr w:type="spellStart"/>
      <w:r>
        <w:t>reference_period</w:t>
      </w:r>
      <w:proofErr w:type="spellEnd"/>
      <w:r>
        <w:t xml:space="preserve"> expansion: confirmed on the </w:t>
      </w:r>
      <w:proofErr w:type="spellStart"/>
      <w:r>
        <w:t>todo</w:t>
      </w:r>
      <w:proofErr w:type="spellEnd"/>
      <w:r>
        <w:t xml:space="preserve"> — it stays the highest-leverage research seam, and the date-bug fix lands before it.</w:t>
      </w:r>
    </w:p>
    <w:p w14:paraId="6F006F66" w14:textId="77777777" w:rsidR="00F73528" w:rsidRDefault="00000000">
      <w:pPr>
        <w:pStyle w:val="Heading2"/>
        <w:spacing w:before="220" w:after="100"/>
      </w:pPr>
      <w:r>
        <w:rPr>
          <w:b/>
          <w:bCs/>
        </w:rPr>
        <w:t>The ones where I need one more word</w:t>
      </w:r>
    </w:p>
    <w:p w14:paraId="7EBE8A92" w14:textId="77777777" w:rsidR="00F73528" w:rsidRDefault="00000000">
      <w:pPr>
        <w:spacing w:before="160" w:after="60"/>
        <w:ind w:left="288"/>
      </w:pPr>
      <w:r>
        <w:rPr>
          <w:b/>
          <w:bCs/>
          <w:color w:val="0000FF"/>
        </w:rPr>
        <w:t xml:space="preserve">You: </w:t>
      </w:r>
      <w:proofErr w:type="spellStart"/>
      <w:r>
        <w:rPr>
          <w:i/>
          <w:iCs/>
          <w:color w:val="0000FF"/>
        </w:rPr>
        <w:t>nz-mbie-tif</w:t>
      </w:r>
      <w:proofErr w:type="spellEnd"/>
      <w:r>
        <w:rPr>
          <w:i/>
          <w:iCs/>
          <w:color w:val="0000FF"/>
        </w:rPr>
        <w:t xml:space="preserve"> — I think discontinued programme can be dropped. We are not looking at the past, </w:t>
      </w:r>
      <w:proofErr w:type="gramStart"/>
      <w:r>
        <w:rPr>
          <w:i/>
          <w:iCs/>
          <w:color w:val="0000FF"/>
        </w:rPr>
        <w:t>lets</w:t>
      </w:r>
      <w:proofErr w:type="gramEnd"/>
      <w:r>
        <w:rPr>
          <w:i/>
          <w:iCs/>
          <w:color w:val="0000FF"/>
        </w:rPr>
        <w:t xml:space="preserve"> keep it current and relevant. Adding discontinued programmes opens the door to exponentially more nodes and infinite confusion.</w:t>
      </w:r>
    </w:p>
    <w:p w14:paraId="6ED7003E" w14:textId="77777777" w:rsidR="00F73528" w:rsidRDefault="00000000">
      <w:pPr>
        <w:spacing w:after="100"/>
      </w:pPr>
      <w:r>
        <w:t>Agreed on the principle, and it is a good rule: this graph maps the living system. Reading you literally, "dropped" means delete the node entirely (not just blank its rate) — it currently has edges, which would go with it, with the reasoning preserved as a dropped-note so a future session doesn’t re-research it. And going forward: no minting discontinued programmes at all, with one carve-out I’d suggest — a superseded thing stays only when its successor names it (like SNA 2008, which the corpus needs because everything cites it). That carve-out is what keeps "current and relevant" from deleting the spine of the methodology chains.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360"/>
      </w:tblGrid>
      <w:tr w:rsidR="00F73528" w14:paraId="5F5CF9A6" w14:textId="77777777">
        <w:tc>
          <w:tcPr>
            <w:tcW w:w="9360" w:type="dxa"/>
            <w:tcBorders>
              <w:top w:val="single" w:sz="4" w:space="0" w:color="B8C6DC"/>
              <w:left w:val="single" w:sz="4" w:space="0" w:color="B8C6DC"/>
              <w:bottom w:val="single" w:sz="4" w:space="0" w:color="B8C6DC"/>
              <w:right w:val="single" w:sz="4" w:space="0" w:color="B8C6DC"/>
            </w:tcBorders>
            <w:shd w:val="clear" w:color="auto" w:fill="EEF3FB"/>
          </w:tcPr>
          <w:p w14:paraId="49313871" w14:textId="77777777" w:rsidR="00F73528" w:rsidRDefault="00000000">
            <w:r>
              <w:rPr>
                <w:b/>
                <w:bCs/>
                <w:color w:val="2E5AAC"/>
                <w:sz w:val="20"/>
                <w:szCs w:val="20"/>
              </w:rPr>
              <w:t xml:space="preserve">Q2 — Confirm: delete the </w:t>
            </w:r>
            <w:proofErr w:type="spellStart"/>
            <w:r>
              <w:rPr>
                <w:b/>
                <w:bCs/>
                <w:color w:val="2E5AAC"/>
                <w:sz w:val="20"/>
                <w:szCs w:val="20"/>
              </w:rPr>
              <w:t>nz-mbie-tif</w:t>
            </w:r>
            <w:proofErr w:type="spellEnd"/>
            <w:r>
              <w:rPr>
                <w:b/>
                <w:bCs/>
                <w:color w:val="2E5AAC"/>
                <w:sz w:val="20"/>
                <w:szCs w:val="20"/>
              </w:rPr>
              <w:t xml:space="preserve"> node + standing rule "no discontinued programmes, except when a </w:t>
            </w:r>
            <w:proofErr w:type="gramStart"/>
            <w:r>
              <w:rPr>
                <w:b/>
                <w:bCs/>
                <w:color w:val="2E5AAC"/>
                <w:sz w:val="20"/>
                <w:szCs w:val="20"/>
              </w:rPr>
              <w:t>live successor/reader names</w:t>
            </w:r>
            <w:proofErr w:type="gramEnd"/>
            <w:r>
              <w:rPr>
                <w:b/>
                <w:bCs/>
                <w:color w:val="2E5AAC"/>
                <w:sz w:val="20"/>
                <w:szCs w:val="20"/>
              </w:rPr>
              <w:t xml:space="preserve"> them"? — your answer:</w:t>
            </w:r>
          </w:p>
          <w:p w14:paraId="004F32E0" w14:textId="50BF0083" w:rsidR="00F73528" w:rsidRDefault="00000000">
            <w:r>
              <w:t xml:space="preserve"> </w:t>
            </w:r>
            <w:r w:rsidR="00E27654">
              <w:t xml:space="preserve">Yes, make sure the new and old programme are still stored in memory because other programmes may draw data from the old one and in that </w:t>
            </w:r>
            <w:proofErr w:type="gramStart"/>
            <w:r w:rsidR="00E27654">
              <w:t>case</w:t>
            </w:r>
            <w:proofErr w:type="gramEnd"/>
            <w:r w:rsidR="00E27654">
              <w:t xml:space="preserve"> we may need to put it back in the graph. </w:t>
            </w:r>
          </w:p>
          <w:p w14:paraId="795F7D75" w14:textId="77777777" w:rsidR="00F73528" w:rsidRDefault="00000000">
            <w:r>
              <w:t xml:space="preserve"> </w:t>
            </w:r>
          </w:p>
        </w:tc>
      </w:tr>
    </w:tbl>
    <w:p w14:paraId="0CE23F2F" w14:textId="77777777" w:rsidR="00F73528" w:rsidRDefault="00F73528">
      <w:pPr>
        <w:spacing w:after="120"/>
      </w:pPr>
    </w:p>
    <w:p w14:paraId="5E9E9470" w14:textId="77777777" w:rsidR="00F73528" w:rsidRDefault="00000000">
      <w:pPr>
        <w:spacing w:before="160" w:after="60"/>
        <w:ind w:left="288"/>
      </w:pPr>
      <w:r>
        <w:rPr>
          <w:b/>
          <w:bCs/>
          <w:color w:val="0000FF"/>
        </w:rPr>
        <w:t xml:space="preserve">You: </w:t>
      </w:r>
      <w:r>
        <w:rPr>
          <w:i/>
          <w:iCs/>
          <w:color w:val="0000FF"/>
        </w:rPr>
        <w:t xml:space="preserve">tea-foundation-school-program — [your pasted research: several </w:t>
      </w:r>
      <w:proofErr w:type="gramStart"/>
      <w:r>
        <w:rPr>
          <w:i/>
          <w:iCs/>
          <w:color w:val="0000FF"/>
        </w:rPr>
        <w:t>SOF</w:t>
      </w:r>
      <w:proofErr w:type="gramEnd"/>
      <w:r>
        <w:rPr>
          <w:i/>
          <w:iCs/>
          <w:color w:val="0000FF"/>
        </w:rPr>
        <w:t xml:space="preserve"> reports a year, LPE/DPE milestone updates in March and July, six-week attendance updates under HB 2, final settle-up]</w:t>
      </w:r>
    </w:p>
    <w:p w14:paraId="04B16688" w14:textId="77777777" w:rsidR="00F73528" w:rsidRDefault="00000000">
      <w:pPr>
        <w:spacing w:after="100"/>
      </w:pPr>
      <w:r>
        <w:t xml:space="preserve">Thanks — that research settles it. The six-week reporting rhythm gives roughly six updates across a school year, with milestone revisions and the settle-up inside the same cycle. Proposal: </w:t>
      </w:r>
      <w:proofErr w:type="spellStart"/>
      <w:r>
        <w:t>releases_per_year</w:t>
      </w:r>
      <w:proofErr w:type="spellEnd"/>
      <w:r>
        <w:t xml:space="preserve">: 6, </w:t>
      </w:r>
      <w:proofErr w:type="spellStart"/>
      <w:r>
        <w:t>cadence_note</w:t>
      </w:r>
      <w:proofErr w:type="spellEnd"/>
      <w:r>
        <w:t>: "Summary of Finances reports are revised continuously across the school year — six-week attendance updates (HB 2), LPE/DPE milestone revisions (≈March and July), and a post-session settle-up — rather than published on a fixed calendar. Nominal 6/year reflects the six-week rhythm." (I’ll fold your citations into the note when applying.)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360"/>
      </w:tblGrid>
      <w:tr w:rsidR="00F73528" w14:paraId="11C953EA" w14:textId="77777777">
        <w:tc>
          <w:tcPr>
            <w:tcW w:w="9360" w:type="dxa"/>
            <w:tcBorders>
              <w:top w:val="single" w:sz="4" w:space="0" w:color="B8C6DC"/>
              <w:left w:val="single" w:sz="4" w:space="0" w:color="B8C6DC"/>
              <w:bottom w:val="single" w:sz="4" w:space="0" w:color="B8C6DC"/>
              <w:right w:val="single" w:sz="4" w:space="0" w:color="B8C6DC"/>
            </w:tcBorders>
            <w:shd w:val="clear" w:color="auto" w:fill="EEF3FB"/>
          </w:tcPr>
          <w:p w14:paraId="24B71AB8" w14:textId="77777777" w:rsidR="00F73528" w:rsidRDefault="00000000">
            <w:r>
              <w:rPr>
                <w:b/>
                <w:bCs/>
                <w:color w:val="2E5AAC"/>
                <w:sz w:val="20"/>
                <w:szCs w:val="20"/>
              </w:rPr>
              <w:t xml:space="preserve">Q3 — TEA: </w:t>
            </w:r>
            <w:proofErr w:type="spellStart"/>
            <w:r>
              <w:rPr>
                <w:b/>
                <w:bCs/>
                <w:color w:val="2E5AAC"/>
                <w:sz w:val="20"/>
                <w:szCs w:val="20"/>
              </w:rPr>
              <w:t>releases_per_year</w:t>
            </w:r>
            <w:proofErr w:type="spellEnd"/>
            <w:r>
              <w:rPr>
                <w:b/>
                <w:bCs/>
                <w:color w:val="2E5AAC"/>
                <w:sz w:val="20"/>
                <w:szCs w:val="20"/>
              </w:rPr>
              <w:t xml:space="preserve"> 6 + that note — good? (yes / different number) — your answer:</w:t>
            </w:r>
          </w:p>
          <w:p w14:paraId="1F88B7DF" w14:textId="77777777" w:rsidR="00F73528" w:rsidRDefault="00000000">
            <w:r>
              <w:t xml:space="preserve"> </w:t>
            </w:r>
          </w:p>
          <w:p w14:paraId="5B02B43C" w14:textId="7830B309" w:rsidR="00F73528" w:rsidRDefault="00000000">
            <w:r>
              <w:t xml:space="preserve"> </w:t>
            </w:r>
            <w:r w:rsidR="00335814">
              <w:t xml:space="preserve">Good, should we treat this </w:t>
            </w:r>
            <w:proofErr w:type="gramStart"/>
            <w:r w:rsidR="00335814">
              <w:t>similar to</w:t>
            </w:r>
            <w:proofErr w:type="gramEnd"/>
            <w:r w:rsidR="00335814">
              <w:t xml:space="preserve"> the case above where </w:t>
            </w:r>
            <w:proofErr w:type="gramStart"/>
            <w:r w:rsidR="00335814">
              <w:t>a 2 nodes</w:t>
            </w:r>
            <w:proofErr w:type="gramEnd"/>
            <w:r w:rsidR="00335814">
              <w:t xml:space="preserve"> share more than 1 edge? I think so </w:t>
            </w:r>
            <w:r w:rsidR="00335814">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tc>
      </w:tr>
    </w:tbl>
    <w:p w14:paraId="73A503FB" w14:textId="77777777" w:rsidR="00F73528" w:rsidRDefault="00F73528">
      <w:pPr>
        <w:spacing w:after="120"/>
      </w:pPr>
    </w:p>
    <w:p w14:paraId="1C96BB6F" w14:textId="77777777" w:rsidR="00F73528" w:rsidRDefault="00000000">
      <w:pPr>
        <w:spacing w:before="160" w:after="60"/>
        <w:ind w:left="288"/>
      </w:pPr>
      <w:r>
        <w:rPr>
          <w:b/>
          <w:bCs/>
          <w:color w:val="0000FF"/>
        </w:rPr>
        <w:t xml:space="preserve">You: </w:t>
      </w:r>
      <w:r>
        <w:rPr>
          <w:i/>
          <w:iCs/>
          <w:color w:val="0000FF"/>
        </w:rPr>
        <w:t>Ground grid — remove it at once.</w:t>
      </w:r>
    </w:p>
    <w:p w14:paraId="5DA13F8E" w14:textId="77777777" w:rsidR="00F73528" w:rsidRDefault="00000000">
      <w:pPr>
        <w:spacing w:after="100"/>
      </w:pPr>
      <w:r>
        <w:t xml:space="preserve">Will do. Two-part confirmation so I cut exactly what you mean: (a) the ground grid — delete it outright like the drop lines (component, toggle and all), or keep the code but default it off? Your "at once" reads as delete, </w:t>
      </w:r>
      <w:r>
        <w:lastRenderedPageBreak/>
        <w:t xml:space="preserve">which is my plan absent other word. (b) The same question bundled the wireframe bounding box, which is already off by default behind a toggle almost nobody opens — keep that toggle, or delete it too and simplify the panel? Note that with the grid gone (and horizon already off by default), the scene loses its only always-on scale/ground reference — fine by me, the nodes are the </w:t>
      </w:r>
      <w:proofErr w:type="gramStart"/>
      <w:r>
        <w:t>subject, but</w:t>
      </w:r>
      <w:proofErr w:type="gramEnd"/>
      <w:r>
        <w:t xml:space="preserve"> saying it out loud so it’s a choice and not a surprise.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360"/>
      </w:tblGrid>
      <w:tr w:rsidR="00F73528" w14:paraId="5BD1113B" w14:textId="77777777">
        <w:tc>
          <w:tcPr>
            <w:tcW w:w="9360" w:type="dxa"/>
            <w:tcBorders>
              <w:top w:val="single" w:sz="4" w:space="0" w:color="B8C6DC"/>
              <w:left w:val="single" w:sz="4" w:space="0" w:color="B8C6DC"/>
              <w:bottom w:val="single" w:sz="4" w:space="0" w:color="B8C6DC"/>
              <w:right w:val="single" w:sz="4" w:space="0" w:color="B8C6DC"/>
            </w:tcBorders>
            <w:shd w:val="clear" w:color="auto" w:fill="EEF3FB"/>
          </w:tcPr>
          <w:p w14:paraId="0E100733" w14:textId="77777777" w:rsidR="00F73528" w:rsidRDefault="00000000">
            <w:r>
              <w:rPr>
                <w:b/>
                <w:bCs/>
                <w:color w:val="2E5AAC"/>
                <w:sz w:val="20"/>
                <w:szCs w:val="20"/>
              </w:rPr>
              <w:t>Q4 — Grid: delete or default-off? Bounding box: keep toggle or delete too? — your answer:</w:t>
            </w:r>
          </w:p>
          <w:p w14:paraId="17F0F67D" w14:textId="77777777" w:rsidR="00F73528" w:rsidRDefault="00000000">
            <w:r>
              <w:t xml:space="preserve"> </w:t>
            </w:r>
          </w:p>
          <w:p w14:paraId="122CCD6A" w14:textId="372D9F4E" w:rsidR="00F73528" w:rsidRDefault="00335814">
            <w:proofErr w:type="gramStart"/>
            <w:r>
              <w:t xml:space="preserve">A, </w:t>
            </w:r>
            <w:r w:rsidR="00000000">
              <w:t xml:space="preserve"> </w:t>
            </w:r>
            <w:r>
              <w:t>don’t</w:t>
            </w:r>
            <w:proofErr w:type="gramEnd"/>
            <w:r>
              <w:t xml:space="preserve"> keep the code. B, delete the bounding box</w:t>
            </w:r>
          </w:p>
        </w:tc>
      </w:tr>
    </w:tbl>
    <w:p w14:paraId="7E8EE756" w14:textId="77777777" w:rsidR="00F73528" w:rsidRDefault="00F73528">
      <w:pPr>
        <w:spacing w:after="120"/>
      </w:pPr>
    </w:p>
    <w:p w14:paraId="4B4DC574" w14:textId="77777777" w:rsidR="00F73528" w:rsidRDefault="00000000">
      <w:pPr>
        <w:spacing w:before="160" w:after="60"/>
        <w:ind w:left="288"/>
      </w:pPr>
      <w:r>
        <w:rPr>
          <w:b/>
          <w:bCs/>
          <w:color w:val="0000FF"/>
        </w:rPr>
        <w:t xml:space="preserve">You: </w:t>
      </w:r>
      <w:r>
        <w:rPr>
          <w:i/>
          <w:iCs/>
          <w:color w:val="0000FF"/>
        </w:rPr>
        <w:t xml:space="preserve">EU vs XEU — </w:t>
      </w:r>
      <w:proofErr w:type="spellStart"/>
      <w:r>
        <w:rPr>
          <w:i/>
          <w:iCs/>
          <w:color w:val="0000FF"/>
        </w:rPr>
        <w:t>xeu</w:t>
      </w:r>
      <w:proofErr w:type="spellEnd"/>
      <w:r>
        <w:rPr>
          <w:i/>
          <w:iCs/>
          <w:color w:val="0000FF"/>
        </w:rPr>
        <w:t xml:space="preserve"> can be yellow.</w:t>
      </w:r>
    </w:p>
    <w:p w14:paraId="019CCCAF" w14:textId="77777777" w:rsidR="00F73528" w:rsidRDefault="00000000">
      <w:pPr>
        <w:spacing w:after="100"/>
      </w:pPr>
      <w:r>
        <w:t>Doable, with one honest snag: yellow is currently reserved for Asia (your own continent redesign parked a vivid yellow-orange slice for future Asian countries, and it also sits near the US tans, held apart by carefully documented saturation gaps). Two clean ways to honour your note: Option A — do it: XEU takes yellow, and Asia moves to the genuinely free teal gap between the EU greens and the Africa blues. Costs: Europe stops being one hue family (your 08-05 continent rule bends), and Asia inherits teal instead of yellow. Option B — keep Europe green but make the split unmistakable: push XEU much lighter/greyer than it is now (the current half-saturation step is evidently too subtle) and lean on the new shape channel doing level-work. A is what you asked for; B preserves your own continent design. Both are one palette-file 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360"/>
      </w:tblGrid>
      <w:tr w:rsidR="00F73528" w14:paraId="13EAD32C" w14:textId="77777777">
        <w:tc>
          <w:tcPr>
            <w:tcW w:w="9360" w:type="dxa"/>
            <w:tcBorders>
              <w:top w:val="single" w:sz="4" w:space="0" w:color="B8C6DC"/>
              <w:left w:val="single" w:sz="4" w:space="0" w:color="B8C6DC"/>
              <w:bottom w:val="single" w:sz="4" w:space="0" w:color="B8C6DC"/>
              <w:right w:val="single" w:sz="4" w:space="0" w:color="B8C6DC"/>
            </w:tcBorders>
            <w:shd w:val="clear" w:color="auto" w:fill="EEF3FB"/>
          </w:tcPr>
          <w:p w14:paraId="77650B5F" w14:textId="6DEDD2A8" w:rsidR="00F73528" w:rsidRDefault="00000000">
            <w:r>
              <w:rPr>
                <w:b/>
                <w:bCs/>
                <w:color w:val="2E5AAC"/>
                <w:sz w:val="20"/>
                <w:szCs w:val="20"/>
              </w:rPr>
              <w:t>Q5 — XEU colour: Option A (XEU yellow, Asia → teal) or Option B (stronger split inside green)? — your answer:</w:t>
            </w:r>
            <w:r w:rsidR="00335814">
              <w:rPr>
                <w:b/>
                <w:bCs/>
                <w:color w:val="2E5AAC"/>
                <w:sz w:val="20"/>
                <w:szCs w:val="20"/>
              </w:rPr>
              <w:t xml:space="preserve"> make the </w:t>
            </w:r>
            <w:proofErr w:type="spellStart"/>
            <w:r w:rsidR="00335814">
              <w:rPr>
                <w:b/>
                <w:bCs/>
                <w:color w:val="2E5AAC"/>
                <w:sz w:val="20"/>
                <w:szCs w:val="20"/>
              </w:rPr>
              <w:t>xeu</w:t>
            </w:r>
            <w:proofErr w:type="spellEnd"/>
            <w:r w:rsidR="00335814">
              <w:rPr>
                <w:b/>
                <w:bCs/>
                <w:color w:val="2E5AAC"/>
                <w:sz w:val="20"/>
                <w:szCs w:val="20"/>
              </w:rPr>
              <w:t xml:space="preserve"> blue with a green rim then, China can be yellow and the rest of </w:t>
            </w:r>
            <w:proofErr w:type="spellStart"/>
            <w:r w:rsidR="00335814">
              <w:rPr>
                <w:b/>
                <w:bCs/>
                <w:color w:val="2E5AAC"/>
                <w:sz w:val="20"/>
                <w:szCs w:val="20"/>
              </w:rPr>
              <w:t>asia</w:t>
            </w:r>
            <w:proofErr w:type="spellEnd"/>
            <w:r w:rsidR="00335814">
              <w:rPr>
                <w:b/>
                <w:bCs/>
                <w:color w:val="2E5AAC"/>
                <w:sz w:val="20"/>
                <w:szCs w:val="20"/>
              </w:rPr>
              <w:t xml:space="preserve"> can be teal. What color should </w:t>
            </w:r>
            <w:proofErr w:type="spellStart"/>
            <w:r w:rsidR="00335814">
              <w:rPr>
                <w:b/>
                <w:bCs/>
                <w:color w:val="2E5AAC"/>
                <w:sz w:val="20"/>
                <w:szCs w:val="20"/>
              </w:rPr>
              <w:t>india</w:t>
            </w:r>
            <w:proofErr w:type="spellEnd"/>
            <w:r w:rsidR="00335814">
              <w:rPr>
                <w:b/>
                <w:bCs/>
                <w:color w:val="2E5AAC"/>
                <w:sz w:val="20"/>
                <w:szCs w:val="20"/>
              </w:rPr>
              <w:t xml:space="preserve"> be? Australia will be </w:t>
            </w:r>
            <w:proofErr w:type="gramStart"/>
            <w:r w:rsidR="00335814">
              <w:rPr>
                <w:b/>
                <w:bCs/>
                <w:color w:val="2E5AAC"/>
                <w:sz w:val="20"/>
                <w:szCs w:val="20"/>
              </w:rPr>
              <w:t>orange,</w:t>
            </w:r>
            <w:proofErr w:type="gramEnd"/>
            <w:r w:rsidR="00335814">
              <w:rPr>
                <w:b/>
                <w:bCs/>
                <w:color w:val="2E5AAC"/>
                <w:sz w:val="20"/>
                <w:szCs w:val="20"/>
              </w:rPr>
              <w:t xml:space="preserve"> NZ will be brown with a white rim How does this all work out? </w:t>
            </w:r>
          </w:p>
          <w:p w14:paraId="7A722562" w14:textId="77777777" w:rsidR="00F73528" w:rsidRDefault="00000000">
            <w:r>
              <w:t xml:space="preserve"> </w:t>
            </w:r>
          </w:p>
          <w:p w14:paraId="08111F4F" w14:textId="77777777" w:rsidR="00F73528" w:rsidRDefault="00000000">
            <w:r>
              <w:t xml:space="preserve"> </w:t>
            </w:r>
          </w:p>
        </w:tc>
      </w:tr>
    </w:tbl>
    <w:p w14:paraId="32B3FEAD" w14:textId="77777777" w:rsidR="00F73528" w:rsidRDefault="00F73528">
      <w:pPr>
        <w:spacing w:after="120"/>
      </w:pPr>
    </w:p>
    <w:p w14:paraId="3E3DF576" w14:textId="77777777" w:rsidR="00F73528" w:rsidRDefault="00000000">
      <w:pPr>
        <w:spacing w:before="160" w:after="60"/>
        <w:ind w:left="288"/>
      </w:pPr>
      <w:r>
        <w:rPr>
          <w:b/>
          <w:bCs/>
          <w:color w:val="0000FF"/>
        </w:rPr>
        <w:t xml:space="preserve">You: </w:t>
      </w:r>
      <w:r>
        <w:rPr>
          <w:i/>
          <w:iCs/>
          <w:color w:val="0000FF"/>
        </w:rPr>
        <w:t>Spread/geo-affinity extremes can be increased 50%</w:t>
      </w:r>
    </w:p>
    <w:p w14:paraId="69FE75B3" w14:textId="77777777" w:rsidR="00F73528" w:rsidRDefault="00000000">
      <w:pPr>
        <w:spacing w:after="100"/>
      </w:pPr>
      <w:r>
        <w:t>Reading that as: raise the sliders’ maximums by half — Cluster spread max 2.5× → 3.75×, Geo-affinity max 100% → 150%. Cheap and safe (the camera now follows re-fits properly, which is what used to make extremes scary). I’ll also actually test both at the new extremes, which was the original open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360"/>
      </w:tblGrid>
      <w:tr w:rsidR="00F73528" w14:paraId="31E9EEF2" w14:textId="77777777">
        <w:tc>
          <w:tcPr>
            <w:tcW w:w="9360" w:type="dxa"/>
            <w:tcBorders>
              <w:top w:val="single" w:sz="4" w:space="0" w:color="B8C6DC"/>
              <w:left w:val="single" w:sz="4" w:space="0" w:color="B8C6DC"/>
              <w:bottom w:val="single" w:sz="4" w:space="0" w:color="B8C6DC"/>
              <w:right w:val="single" w:sz="4" w:space="0" w:color="B8C6DC"/>
            </w:tcBorders>
            <w:shd w:val="clear" w:color="auto" w:fill="EEF3FB"/>
          </w:tcPr>
          <w:p w14:paraId="61F638F4" w14:textId="772E0B31" w:rsidR="00F73528" w:rsidRDefault="00000000">
            <w:r>
              <w:rPr>
                <w:b/>
                <w:bCs/>
                <w:color w:val="2E5AAC"/>
                <w:sz w:val="20"/>
                <w:szCs w:val="20"/>
              </w:rPr>
              <w:t>Q6 — Slider ranges +50%: did I read you right? — your answer:</w:t>
            </w:r>
            <w:r w:rsidR="0086268C">
              <w:rPr>
                <w:b/>
                <w:bCs/>
                <w:color w:val="2E5AAC"/>
                <w:sz w:val="20"/>
                <w:szCs w:val="20"/>
              </w:rPr>
              <w:t xml:space="preserve"> you read that correctly</w:t>
            </w:r>
          </w:p>
          <w:p w14:paraId="3DF3DC2E" w14:textId="77777777" w:rsidR="00F73528" w:rsidRDefault="00000000">
            <w:r>
              <w:t xml:space="preserve"> </w:t>
            </w:r>
          </w:p>
          <w:p w14:paraId="4F52ADFF" w14:textId="6F974476" w:rsidR="00F73528" w:rsidRDefault="00000000">
            <w:r>
              <w:t xml:space="preserve"> </w:t>
            </w:r>
            <w:r w:rsidR="0086268C">
              <w:t xml:space="preserve">Go to the lower extremes by 50% too. </w:t>
            </w:r>
          </w:p>
        </w:tc>
      </w:tr>
    </w:tbl>
    <w:p w14:paraId="7680958C" w14:textId="77777777" w:rsidR="00F73528" w:rsidRDefault="00F73528">
      <w:pPr>
        <w:spacing w:after="120"/>
      </w:pPr>
    </w:p>
    <w:p w14:paraId="3DF621AF" w14:textId="77777777" w:rsidR="00F73528" w:rsidRDefault="00000000">
      <w:pPr>
        <w:pStyle w:val="Heading1"/>
        <w:spacing w:before="280" w:after="120"/>
      </w:pPr>
      <w:r>
        <w:rPr>
          <w:b/>
          <w:bCs/>
        </w:rPr>
        <w:t>3. The Grok prompt you asked for (8 unsourced seed edges)</w:t>
      </w:r>
    </w:p>
    <w:p w14:paraId="2676F9F0" w14:textId="77777777" w:rsidR="00F73528" w:rsidRDefault="00000000">
      <w:pPr>
        <w:spacing w:after="100"/>
      </w:pPr>
      <w:r>
        <w:rPr>
          <w:color w:val="595959"/>
        </w:rPr>
        <w:t>Copy-paste everything in the box below to Grok. When he returns results, hand them to me raw — I’ll run the citation-resolution pass (his pointers aren’t always sources — that pass caught four confident errors in the Texas work) and apply the survivors: found → edge gets its URL; genuinely not found → demote to implied or delete, per your evidence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9360"/>
      </w:tblGrid>
      <w:tr w:rsidR="00F73528" w14:paraId="657343BC" w14:textId="77777777">
        <w:tc>
          <w:tcPr>
            <w:tcW w:w="9360" w:type="dxa"/>
            <w:tcBorders>
              <w:top w:val="single" w:sz="4" w:space="0" w:color="B8C6DC"/>
              <w:left w:val="single" w:sz="4" w:space="0" w:color="B8C6DC"/>
              <w:bottom w:val="single" w:sz="4" w:space="0" w:color="B8C6DC"/>
              <w:right w:val="single" w:sz="4" w:space="0" w:color="B8C6DC"/>
            </w:tcBorders>
            <w:shd w:val="clear" w:color="auto" w:fill="F5F5F0"/>
          </w:tcPr>
          <w:p w14:paraId="3D5F2AFA" w14:textId="77777777" w:rsidR="00F73528" w:rsidRDefault="00000000">
            <w:pPr>
              <w:spacing w:after="30" w:line="230" w:lineRule="auto"/>
            </w:pPr>
            <w:r>
              <w:rPr>
                <w:rFonts w:ascii="Consolas" w:eastAsia="Consolas" w:hAnsi="Consolas" w:cs="Consolas"/>
                <w:sz w:val="17"/>
                <w:szCs w:val="17"/>
              </w:rPr>
              <w:t>I maintain a dependency graph of official economic reports. The rule: an edge "A depends on B" may only exist if a public document states the relationship in words. Eight early edges predate the rule and have no source. For each, find a public document that explicitly states the dependency.</w:t>
            </w:r>
          </w:p>
          <w:p w14:paraId="07009AE8" w14:textId="77777777" w:rsidR="00F73528" w:rsidRDefault="00000000">
            <w:pPr>
              <w:spacing w:after="30" w:line="230" w:lineRule="auto"/>
            </w:pPr>
            <w:r>
              <w:rPr>
                <w:rFonts w:ascii="Consolas" w:eastAsia="Consolas" w:hAnsi="Consolas" w:cs="Consolas"/>
                <w:sz w:val="17"/>
                <w:szCs w:val="17"/>
              </w:rPr>
              <w:t xml:space="preserve"> </w:t>
            </w:r>
          </w:p>
          <w:p w14:paraId="3D4360D7" w14:textId="77777777" w:rsidR="00F73528" w:rsidRDefault="00000000">
            <w:pPr>
              <w:spacing w:after="30" w:line="230" w:lineRule="auto"/>
            </w:pPr>
            <w:r>
              <w:rPr>
                <w:rFonts w:ascii="Consolas" w:eastAsia="Consolas" w:hAnsi="Consolas" w:cs="Consolas"/>
                <w:sz w:val="17"/>
                <w:szCs w:val="17"/>
              </w:rPr>
              <w:lastRenderedPageBreak/>
              <w:t>Rules:</w:t>
            </w:r>
          </w:p>
          <w:p w14:paraId="5CE6F889" w14:textId="77777777" w:rsidR="00F73528" w:rsidRDefault="00000000">
            <w:pPr>
              <w:spacing w:after="30" w:line="230" w:lineRule="auto"/>
            </w:pPr>
            <w:r>
              <w:rPr>
                <w:rFonts w:ascii="Consolas" w:eastAsia="Consolas" w:hAnsi="Consolas" w:cs="Consolas"/>
                <w:sz w:val="17"/>
                <w:szCs w:val="17"/>
              </w:rPr>
              <w:t>1. The document must state the relationship in its own words (e.g. "the target is defined in terms of the 12-month rate of change in the total CPI"). A chart source-line naming the exact release is acceptable; naming only the agency is not.</w:t>
            </w:r>
          </w:p>
          <w:p w14:paraId="23D99735" w14:textId="77777777" w:rsidR="00F73528" w:rsidRDefault="00000000">
            <w:pPr>
              <w:spacing w:after="30" w:line="230" w:lineRule="auto"/>
            </w:pPr>
            <w:r>
              <w:rPr>
                <w:rFonts w:ascii="Consolas" w:eastAsia="Consolas" w:hAnsi="Consolas" w:cs="Consolas"/>
                <w:sz w:val="17"/>
                <w:szCs w:val="17"/>
              </w:rPr>
              <w:t>2. Give a working URL to the document itself — not a search page, not a description of where it lives — plus the exact sentence(s), quoted verbatim.</w:t>
            </w:r>
          </w:p>
          <w:p w14:paraId="6D8A9442" w14:textId="77777777" w:rsidR="00F73528" w:rsidRDefault="00000000">
            <w:pPr>
              <w:spacing w:after="30" w:line="230" w:lineRule="auto"/>
            </w:pPr>
            <w:r>
              <w:rPr>
                <w:rFonts w:ascii="Consolas" w:eastAsia="Consolas" w:hAnsi="Consolas" w:cs="Consolas"/>
                <w:sz w:val="17"/>
                <w:szCs w:val="17"/>
              </w:rPr>
              <w:t>3. Primary/official sources only: bankofcanada.ca, federalreserve.gov, bls.gov, bea.gov, statcan.gc.ca, laws-lois.justice.gc.ca and the like. No third-party explainers.</w:t>
            </w:r>
          </w:p>
          <w:p w14:paraId="7866972B" w14:textId="77777777" w:rsidR="00F73528" w:rsidRDefault="00000000">
            <w:pPr>
              <w:spacing w:after="30" w:line="230" w:lineRule="auto"/>
            </w:pPr>
            <w:r>
              <w:rPr>
                <w:rFonts w:ascii="Consolas" w:eastAsia="Consolas" w:hAnsi="Consolas" w:cs="Consolas"/>
                <w:sz w:val="17"/>
                <w:szCs w:val="17"/>
              </w:rPr>
              <w:t>4. "NO DOCUMENT STATES THIS" is a valid, useful answer. If your best find is an explainer or an inference, say NOT FOUND rather than stretching.</w:t>
            </w:r>
          </w:p>
          <w:p w14:paraId="12C23BBE" w14:textId="77777777" w:rsidR="00F73528" w:rsidRDefault="00000000">
            <w:pPr>
              <w:spacing w:after="30" w:line="230" w:lineRule="auto"/>
            </w:pPr>
            <w:r>
              <w:rPr>
                <w:rFonts w:ascii="Consolas" w:eastAsia="Consolas" w:hAnsi="Consolas" w:cs="Consolas"/>
                <w:sz w:val="17"/>
                <w:szCs w:val="17"/>
              </w:rPr>
              <w:t>5. The standard to match: for the Bank of Canada policy rate -&gt; Canadian CPI we cite the 2021 Joint Statement of the Government of Canada and the Bank of Canada: "the target will continue to be defined in terms of the 12-month rate of change in the total CPI."</w:t>
            </w:r>
          </w:p>
          <w:p w14:paraId="407AA9E3" w14:textId="77777777" w:rsidR="00F73528" w:rsidRDefault="00000000">
            <w:pPr>
              <w:spacing w:after="30" w:line="230" w:lineRule="auto"/>
            </w:pPr>
            <w:r>
              <w:rPr>
                <w:rFonts w:ascii="Consolas" w:eastAsia="Consolas" w:hAnsi="Consolas" w:cs="Consolas"/>
                <w:sz w:val="17"/>
                <w:szCs w:val="17"/>
              </w:rPr>
              <w:t xml:space="preserve"> </w:t>
            </w:r>
          </w:p>
          <w:p w14:paraId="3CD43657" w14:textId="77777777" w:rsidR="00F73528" w:rsidRDefault="00000000">
            <w:pPr>
              <w:spacing w:after="30" w:line="230" w:lineRule="auto"/>
            </w:pPr>
            <w:r>
              <w:rPr>
                <w:rFonts w:ascii="Consolas" w:eastAsia="Consolas" w:hAnsi="Consolas" w:cs="Consolas"/>
                <w:sz w:val="17"/>
                <w:szCs w:val="17"/>
              </w:rPr>
              <w:t>The eight edges:</w:t>
            </w:r>
          </w:p>
          <w:p w14:paraId="34358F62" w14:textId="77777777" w:rsidR="00F73528" w:rsidRDefault="00000000">
            <w:pPr>
              <w:spacing w:after="30" w:line="230" w:lineRule="auto"/>
            </w:pPr>
            <w:r>
              <w:rPr>
                <w:rFonts w:ascii="Consolas" w:eastAsia="Consolas" w:hAnsi="Consolas" w:cs="Consolas"/>
                <w:sz w:val="17"/>
                <w:szCs w:val="17"/>
              </w:rPr>
              <w:t>1. Bank of Canada policy interest rate decision -&gt; Statistics Canada Labour Force Survey. (Does any Bank document state that rate decisions use LFS data? Try Monetary Policy Report text, Bank backgrounders/speeches on labour-market indicators in decisions.)</w:t>
            </w:r>
          </w:p>
          <w:p w14:paraId="05CA6C09" w14:textId="77777777" w:rsidR="00F73528" w:rsidRDefault="00000000">
            <w:pPr>
              <w:spacing w:after="30" w:line="230" w:lineRule="auto"/>
            </w:pPr>
            <w:r>
              <w:rPr>
                <w:rFonts w:ascii="Consolas" w:eastAsia="Consolas" w:hAnsi="Consolas" w:cs="Consolas"/>
                <w:sz w:val="17"/>
                <w:szCs w:val="17"/>
              </w:rPr>
              <w:t>2. Bank of Canada policy rate decision -&gt; Statistics Canada quarterly National Accounts (GDP). (Output-gap assessment; same document families as #1.)</w:t>
            </w:r>
          </w:p>
          <w:p w14:paraId="419F490C" w14:textId="77777777" w:rsidR="00F73528" w:rsidRDefault="00000000">
            <w:pPr>
              <w:spacing w:after="30" w:line="230" w:lineRule="auto"/>
            </w:pPr>
            <w:r>
              <w:rPr>
                <w:rFonts w:ascii="Consolas" w:eastAsia="Consolas" w:hAnsi="Consolas" w:cs="Consolas"/>
                <w:sz w:val="17"/>
                <w:szCs w:val="17"/>
              </w:rPr>
              <w:t>3. Bank of Canada Monetary Policy Report -&gt; the policy rate decision itself. (A Bank document stating the MPR is published alongside / explains the rate decision — the Bank’s own description of what the MPR is.)</w:t>
            </w:r>
          </w:p>
          <w:p w14:paraId="16C2188B" w14:textId="77777777" w:rsidR="00F73528" w:rsidRDefault="00000000">
            <w:pPr>
              <w:spacing w:after="30" w:line="230" w:lineRule="auto"/>
            </w:pPr>
            <w:r>
              <w:rPr>
                <w:rFonts w:ascii="Consolas" w:eastAsia="Consolas" w:hAnsi="Consolas" w:cs="Consolas"/>
                <w:sz w:val="17"/>
                <w:szCs w:val="17"/>
              </w:rPr>
              <w:t>4. Bank of Canada Monetary Policy Report -&gt; US FOMC statement. (The MPR conditioning its projection on the expected path of US monetary policy — check the MPR’s own assumptions/annex text.)</w:t>
            </w:r>
          </w:p>
          <w:p w14:paraId="2F345567" w14:textId="77777777" w:rsidR="00F73528" w:rsidRDefault="00000000">
            <w:pPr>
              <w:spacing w:after="30" w:line="230" w:lineRule="auto"/>
            </w:pPr>
            <w:r>
              <w:rPr>
                <w:rFonts w:ascii="Consolas" w:eastAsia="Consolas" w:hAnsi="Consolas" w:cs="Consolas"/>
                <w:sz w:val="17"/>
                <w:szCs w:val="17"/>
              </w:rPr>
              <w:t>5. US FOMC statement -&gt; BLS Employment Situation release. (An official Fed document tying the statement’s employment assessment to that specific release — FOMC minutes naming it, or Fed monetary-policy explainers naming the release rather than just "labor market data".)</w:t>
            </w:r>
          </w:p>
          <w:p w14:paraId="05BD2025" w14:textId="77777777" w:rsidR="00F73528" w:rsidRDefault="00000000">
            <w:pPr>
              <w:spacing w:after="30" w:line="230" w:lineRule="auto"/>
            </w:pPr>
            <w:r>
              <w:rPr>
                <w:rFonts w:ascii="Consolas" w:eastAsia="Consolas" w:hAnsi="Consolas" w:cs="Consolas"/>
                <w:sz w:val="17"/>
                <w:szCs w:val="17"/>
              </w:rPr>
              <w:t>6. US FOMC statement -&gt; BEA GDP (NIPA) release. (Same shape as #5.)</w:t>
            </w:r>
          </w:p>
          <w:p w14:paraId="4386E91C" w14:textId="77777777" w:rsidR="00F73528" w:rsidRDefault="00000000">
            <w:pPr>
              <w:spacing w:after="30" w:line="230" w:lineRule="auto"/>
            </w:pPr>
            <w:r>
              <w:rPr>
                <w:rFonts w:ascii="Consolas" w:eastAsia="Consolas" w:hAnsi="Consolas" w:cs="Consolas"/>
                <w:sz w:val="17"/>
                <w:szCs w:val="17"/>
              </w:rPr>
              <w:t>7. Fed Summary of Economic Projections -&gt; BLS Employment Situation. (The SEP’s own variable definitions: the unemployment-rate projection is defined as the civilian unemployment rate — quote the definition note verbatim.)</w:t>
            </w:r>
          </w:p>
          <w:p w14:paraId="29A99D75" w14:textId="77777777" w:rsidR="00F73528" w:rsidRDefault="00000000">
            <w:pPr>
              <w:spacing w:after="30" w:line="230" w:lineRule="auto"/>
            </w:pPr>
            <w:r>
              <w:rPr>
                <w:rFonts w:ascii="Consolas" w:eastAsia="Consolas" w:hAnsi="Consolas" w:cs="Consolas"/>
                <w:sz w:val="17"/>
                <w:szCs w:val="17"/>
              </w:rPr>
              <w:t>8. Fed Summary of Economic Projections -&gt; BEA GDP. (Same: SEP defines growth as change in real GDP — quote the definition note.)</w:t>
            </w:r>
          </w:p>
          <w:p w14:paraId="6B0A5383" w14:textId="77777777" w:rsidR="00F73528" w:rsidRDefault="00000000">
            <w:pPr>
              <w:spacing w:after="30" w:line="230" w:lineRule="auto"/>
            </w:pPr>
            <w:r>
              <w:rPr>
                <w:rFonts w:ascii="Consolas" w:eastAsia="Consolas" w:hAnsi="Consolas" w:cs="Consolas"/>
                <w:sz w:val="17"/>
                <w:szCs w:val="17"/>
              </w:rPr>
              <w:t xml:space="preserve"> </w:t>
            </w:r>
          </w:p>
          <w:p w14:paraId="0632C9C5" w14:textId="77777777" w:rsidR="00F73528" w:rsidRDefault="00000000">
            <w:pPr>
              <w:spacing w:after="30" w:line="230" w:lineRule="auto"/>
            </w:pPr>
            <w:r>
              <w:rPr>
                <w:rFonts w:ascii="Consolas" w:eastAsia="Consolas" w:hAnsi="Consolas" w:cs="Consolas"/>
                <w:sz w:val="17"/>
                <w:szCs w:val="17"/>
              </w:rPr>
              <w:t>Return format, one block per edge: edge number - verdict (FOUND / NOT FOUND) - verbatim quote - document title - URL - one line on why this document is authoritative for the claim.</w:t>
            </w:r>
          </w:p>
        </w:tc>
      </w:tr>
    </w:tbl>
    <w:p w14:paraId="2F236561" w14:textId="77777777" w:rsidR="00344565" w:rsidRDefault="00344565" w:rsidP="00344565">
      <w:pPr>
        <w:spacing w:after="120"/>
      </w:pPr>
      <w:r>
        <w:lastRenderedPageBreak/>
        <w:t xml:space="preserve">**1. Bank of Canada policy interest rate decision → Statistics Canada Labour Force Survey**  </w:t>
      </w:r>
    </w:p>
    <w:p w14:paraId="7BF5162C" w14:textId="77777777" w:rsidR="00344565" w:rsidRDefault="00344565" w:rsidP="00344565">
      <w:pPr>
        <w:spacing w:after="120"/>
      </w:pPr>
      <w:r>
        <w:t xml:space="preserve">**NOT FOUND**  </w:t>
      </w:r>
    </w:p>
    <w:p w14:paraId="04609152" w14:textId="77777777" w:rsidR="00344565" w:rsidRDefault="00344565" w:rsidP="00344565">
      <w:pPr>
        <w:spacing w:after="120"/>
      </w:pPr>
      <w:r>
        <w:t xml:space="preserve">No Bank of Canada document states in its own words that rate decisions use or depend on the Labour Force Survey (or that the decision is defined/conditioned on LFS data). MPRs, speeches, and backgrounders extensively discuss LFS-derived indicators (unemployment rate, employment growth, wages, participation) as part of broader labour-market assessment for capacity and inflation pressures, but the relationship is never framed as a dependency of the rate decision on the LFS release itself. Third-party or inferred links do not qualify.  </w:t>
      </w:r>
    </w:p>
    <w:p w14:paraId="07B3A9AB" w14:textId="77777777" w:rsidR="00344565" w:rsidRDefault="00344565" w:rsidP="00344565">
      <w:pPr>
        <w:spacing w:after="120"/>
      </w:pPr>
    </w:p>
    <w:p w14:paraId="1280C56A" w14:textId="77777777" w:rsidR="00344565" w:rsidRDefault="00344565" w:rsidP="00344565">
      <w:pPr>
        <w:spacing w:after="120"/>
      </w:pPr>
      <w:r>
        <w:t xml:space="preserve">**2. Bank of Canada policy rate decision → Statistics Canada quarterly National Accounts (GDP)**  </w:t>
      </w:r>
    </w:p>
    <w:p w14:paraId="71222123" w14:textId="77777777" w:rsidR="00344565" w:rsidRDefault="00344565" w:rsidP="00344565">
      <w:pPr>
        <w:spacing w:after="120"/>
      </w:pPr>
      <w:r>
        <w:t xml:space="preserve">**NOT FOUND**  </w:t>
      </w:r>
    </w:p>
    <w:p w14:paraId="455E2D4E" w14:textId="77777777" w:rsidR="00344565" w:rsidRDefault="00344565" w:rsidP="00344565">
      <w:pPr>
        <w:spacing w:after="120"/>
      </w:pPr>
      <w:r>
        <w:t xml:space="preserve">No official Bank document states that rate decisions use or depend on the quarterly National Accounts / GDP release (or that output-gap assessment for the decision is defined in terms of that release). MPRs and related material discuss GDP growth, potential output, and the output gap as inputs to the economic projection that informs Governing Council deliberations, but the explicit “depends on / defined in terms of the quarterly National Accounts” language required by the rule is absent.  </w:t>
      </w:r>
    </w:p>
    <w:p w14:paraId="48FCF143" w14:textId="77777777" w:rsidR="00344565" w:rsidRDefault="00344565" w:rsidP="00344565">
      <w:pPr>
        <w:spacing w:after="120"/>
      </w:pPr>
    </w:p>
    <w:p w14:paraId="2AC06EB5" w14:textId="77777777" w:rsidR="00344565" w:rsidRDefault="00344565" w:rsidP="00344565">
      <w:pPr>
        <w:spacing w:after="120"/>
      </w:pPr>
      <w:r>
        <w:t xml:space="preserve">**3. Bank of Canada Monetary Policy Report → the policy rate decision itself**  </w:t>
      </w:r>
    </w:p>
    <w:p w14:paraId="3363E7A7" w14:textId="77777777" w:rsidR="00344565" w:rsidRDefault="00344565" w:rsidP="00344565">
      <w:pPr>
        <w:spacing w:after="120"/>
      </w:pPr>
      <w:r>
        <w:t xml:space="preserve">**FOUND**  </w:t>
      </w:r>
    </w:p>
    <w:p w14:paraId="1ABAB99A" w14:textId="77777777" w:rsidR="00344565" w:rsidRDefault="00344565" w:rsidP="00344565">
      <w:pPr>
        <w:spacing w:after="120"/>
      </w:pPr>
      <w:r>
        <w:t xml:space="preserve">“Based on the MPR projection published today, Governing Council judges the current policy rate remains appropriate to sustain the economic recovery and bring inflation back to the 2% target.”  </w:t>
      </w:r>
    </w:p>
    <w:p w14:paraId="086F0AD0" w14:textId="77777777" w:rsidR="00344565" w:rsidRDefault="00344565" w:rsidP="00344565">
      <w:pPr>
        <w:spacing w:after="120"/>
      </w:pPr>
      <w:r>
        <w:t xml:space="preserve">Also: “I’m pleased to be here with Senior Deputy Governor Carolyn Rogers to discuss our quarterly *Monetary Policy Report* and today’s decision.”  </w:t>
      </w:r>
    </w:p>
    <w:p w14:paraId="26FE7414" w14:textId="77777777" w:rsidR="00344565" w:rsidRDefault="00344565" w:rsidP="00344565">
      <w:pPr>
        <w:spacing w:after="120"/>
      </w:pPr>
      <w:r>
        <w:t xml:space="preserve">Document title: Monetary Policy Report Press Conference Opening Statement (July 2026) / related MPR description page.  </w:t>
      </w:r>
    </w:p>
    <w:p w14:paraId="0AB7E4AE" w14:textId="77777777" w:rsidR="00344565" w:rsidRDefault="00344565" w:rsidP="00344565">
      <w:pPr>
        <w:spacing w:after="120"/>
      </w:pPr>
      <w:r>
        <w:t xml:space="preserve">URL: https://www.bankofcanada.ca/2026/07/opening-statement-2026-07-15/ (and https://www.bankofcanada.ca/publications/mpr/).  </w:t>
      </w:r>
    </w:p>
    <w:p w14:paraId="4BCCB0A4" w14:textId="77777777" w:rsidR="00344565" w:rsidRDefault="00344565" w:rsidP="00344565">
      <w:pPr>
        <w:spacing w:after="120"/>
      </w:pPr>
      <w:r>
        <w:t xml:space="preserve">This is the Bank’s own contemporaneous description of the MPR as the Governing Council’s projection document published with, and used as the analytical basis for, the rate decision.  </w:t>
      </w:r>
    </w:p>
    <w:p w14:paraId="06A15DB8" w14:textId="77777777" w:rsidR="00344565" w:rsidRDefault="00344565" w:rsidP="00344565">
      <w:pPr>
        <w:spacing w:after="120"/>
      </w:pPr>
    </w:p>
    <w:p w14:paraId="77952306" w14:textId="77777777" w:rsidR="00344565" w:rsidRDefault="00344565" w:rsidP="00344565">
      <w:pPr>
        <w:spacing w:after="120"/>
      </w:pPr>
      <w:r>
        <w:t xml:space="preserve">**4. Bank of Canada Monetary Policy Report → US FOMC statement**  </w:t>
      </w:r>
    </w:p>
    <w:p w14:paraId="2F6D8C73" w14:textId="77777777" w:rsidR="00344565" w:rsidRDefault="00344565" w:rsidP="00344565">
      <w:pPr>
        <w:spacing w:after="120"/>
      </w:pPr>
      <w:r>
        <w:t xml:space="preserve">**NOT FOUND**  </w:t>
      </w:r>
    </w:p>
    <w:p w14:paraId="18B1E794" w14:textId="77777777" w:rsidR="00344565" w:rsidRDefault="00344565" w:rsidP="00344565">
      <w:pPr>
        <w:spacing w:after="120"/>
      </w:pPr>
      <w:r>
        <w:t xml:space="preserve">No MPR (or accompanying Bank document) states that its projection is conditioned on the expected path of US monetary policy / the FOMC statement (or federal funds rate path). Recent MPRs discuss US tariffs, trade policy, and oil-price assumptions extensively; older reports have contained US-growth or external assumptions, but the required explicit conditioning language on the FOMC path / statement is not present in primary sources matching the standard.  </w:t>
      </w:r>
    </w:p>
    <w:p w14:paraId="7C0DDD66" w14:textId="77777777" w:rsidR="00344565" w:rsidRDefault="00344565" w:rsidP="00344565">
      <w:pPr>
        <w:spacing w:after="120"/>
      </w:pPr>
    </w:p>
    <w:p w14:paraId="3AF37A95" w14:textId="77777777" w:rsidR="00344565" w:rsidRDefault="00344565" w:rsidP="00344565">
      <w:pPr>
        <w:spacing w:after="120"/>
      </w:pPr>
      <w:r>
        <w:t xml:space="preserve">**5. US FOMC statement → BLS Employment Situation release**  </w:t>
      </w:r>
    </w:p>
    <w:p w14:paraId="29B26898" w14:textId="77777777" w:rsidR="00344565" w:rsidRDefault="00344565" w:rsidP="00344565">
      <w:pPr>
        <w:spacing w:after="120"/>
      </w:pPr>
      <w:r>
        <w:t xml:space="preserve">**NOT FOUND**  </w:t>
      </w:r>
    </w:p>
    <w:p w14:paraId="3C63471E" w14:textId="77777777" w:rsidR="00344565" w:rsidRDefault="00344565" w:rsidP="00344565">
      <w:pPr>
        <w:spacing w:after="120"/>
      </w:pPr>
      <w:r>
        <w:t xml:space="preserve">No official Fed document (FOMC statement, minutes, or monetary-policy explainer) states that the statement’s employment assessment is defined in terms of, or depends on, the specific BLS Employment Situation release. Minutes and the Monetary Policy Report routinely cite nonfarm payrolls, the unemployment rate, and related indicators and source charts to the Bureau of Labor Statistics, but they do not name the Employment Situation release as the definitional source of the statement’s labour-market assessment in the required words.  </w:t>
      </w:r>
    </w:p>
    <w:p w14:paraId="47AC10B5" w14:textId="77777777" w:rsidR="00344565" w:rsidRDefault="00344565" w:rsidP="00344565">
      <w:pPr>
        <w:spacing w:after="120"/>
      </w:pPr>
    </w:p>
    <w:p w14:paraId="2F09BC2F" w14:textId="77777777" w:rsidR="00344565" w:rsidRDefault="00344565" w:rsidP="00344565">
      <w:pPr>
        <w:spacing w:after="120"/>
      </w:pPr>
      <w:r>
        <w:t xml:space="preserve">**6. US FOMC statement → BEA GDP (NIPA) release**  </w:t>
      </w:r>
    </w:p>
    <w:p w14:paraId="2385150B" w14:textId="77777777" w:rsidR="00344565" w:rsidRDefault="00344565" w:rsidP="00344565">
      <w:pPr>
        <w:spacing w:after="120"/>
      </w:pPr>
      <w:r>
        <w:t xml:space="preserve">**NOT FOUND**  </w:t>
      </w:r>
    </w:p>
    <w:p w14:paraId="438502CA" w14:textId="77777777" w:rsidR="00344565" w:rsidRDefault="00344565" w:rsidP="00344565">
      <w:pPr>
        <w:spacing w:after="120"/>
      </w:pPr>
      <w:r>
        <w:t xml:space="preserve">No official Fed document ties the FOMC statement’s activity/growth assessment to the specific BEA GDP / NIPA release in definitional language. Minutes and reports discuss real GDP growth and source data to BEA, but the explicit “statement depends on / is defined in terms of the BEA GDP release” formulation is absent.  </w:t>
      </w:r>
    </w:p>
    <w:p w14:paraId="60C8D746" w14:textId="77777777" w:rsidR="00344565" w:rsidRDefault="00344565" w:rsidP="00344565">
      <w:pPr>
        <w:spacing w:after="120"/>
      </w:pPr>
    </w:p>
    <w:p w14:paraId="13F774BF" w14:textId="77777777" w:rsidR="00344565" w:rsidRDefault="00344565" w:rsidP="00344565">
      <w:pPr>
        <w:spacing w:after="120"/>
      </w:pPr>
      <w:r>
        <w:t xml:space="preserve">**7. Fed Summary of Economic Projections → BLS Employment Situation**  </w:t>
      </w:r>
    </w:p>
    <w:p w14:paraId="17466E79" w14:textId="77777777" w:rsidR="00344565" w:rsidRDefault="00344565" w:rsidP="00344565">
      <w:pPr>
        <w:spacing w:after="120"/>
      </w:pPr>
      <w:r>
        <w:t xml:space="preserve">**FOUND**  </w:t>
      </w:r>
    </w:p>
    <w:p w14:paraId="0408DC72" w14:textId="77777777" w:rsidR="00344565" w:rsidRDefault="00344565" w:rsidP="00344565">
      <w:pPr>
        <w:spacing w:after="120"/>
      </w:pPr>
      <w:r>
        <w:lastRenderedPageBreak/>
        <w:t xml:space="preserve">“Projections for the unemployment rate are for the average civilian unemployment rate in the fourth quarter of the year indicated.”  </w:t>
      </w:r>
    </w:p>
    <w:p w14:paraId="62FDB5A3" w14:textId="77777777" w:rsidR="00344565" w:rsidRDefault="00344565" w:rsidP="00344565">
      <w:pPr>
        <w:spacing w:after="120"/>
      </w:pPr>
      <w:r>
        <w:t xml:space="preserve">Document title: Guide to the Summary of Economic Projections.  </w:t>
      </w:r>
    </w:p>
    <w:p w14:paraId="3A2E1F35" w14:textId="77777777" w:rsidR="00344565" w:rsidRDefault="00344565" w:rsidP="00344565">
      <w:pPr>
        <w:spacing w:after="120"/>
      </w:pPr>
      <w:r>
        <w:t xml:space="preserve">URL: https://www.federalreserve.gov/monetarypolicy/guide-to-the-summary-of-economic-projections.htm  </w:t>
      </w:r>
    </w:p>
    <w:p w14:paraId="16700ACD" w14:textId="77777777" w:rsidR="00344565" w:rsidRDefault="00344565" w:rsidP="00344565">
      <w:pPr>
        <w:spacing w:after="120"/>
      </w:pPr>
      <w:r>
        <w:t xml:space="preserve">This is the Fed’s own official definition note for the SEP unemployment-rate variable; the civilian unemployment rate is the series published in the BLS Employment Situation.  </w:t>
      </w:r>
    </w:p>
    <w:p w14:paraId="635B0614" w14:textId="77777777" w:rsidR="00344565" w:rsidRDefault="00344565" w:rsidP="00344565">
      <w:pPr>
        <w:spacing w:after="120"/>
      </w:pPr>
    </w:p>
    <w:p w14:paraId="36052288" w14:textId="77777777" w:rsidR="00344565" w:rsidRDefault="00344565" w:rsidP="00344565">
      <w:pPr>
        <w:spacing w:after="120"/>
      </w:pPr>
      <w:r>
        <w:t xml:space="preserve">**8. Fed Summary of Economic Projections → BEA GDP**  </w:t>
      </w:r>
    </w:p>
    <w:p w14:paraId="7E0A7925" w14:textId="77777777" w:rsidR="00344565" w:rsidRDefault="00344565" w:rsidP="00344565">
      <w:pPr>
        <w:spacing w:after="120"/>
      </w:pPr>
      <w:r>
        <w:t xml:space="preserve">**FOUND**  </w:t>
      </w:r>
    </w:p>
    <w:p w14:paraId="72D6740E" w14:textId="77777777" w:rsidR="00344565" w:rsidRDefault="00344565" w:rsidP="00344565">
      <w:pPr>
        <w:spacing w:after="120"/>
      </w:pPr>
      <w:r>
        <w:t xml:space="preserve">“Change in Real Gross Domestic Product (GDP)—as measured from the fourth quarter of the previous year to the fourth quarter of the year indicated.”  </w:t>
      </w:r>
    </w:p>
    <w:p w14:paraId="282F216B" w14:textId="77777777" w:rsidR="00344565" w:rsidRDefault="00344565" w:rsidP="00344565">
      <w:pPr>
        <w:spacing w:after="120"/>
      </w:pPr>
      <w:r>
        <w:t xml:space="preserve">(Also: “Projections of change in real gross domestic product (GDP) … are percent changes from the fourth quarter of the previous year to the fourth quarter of the year indicated.”)  </w:t>
      </w:r>
    </w:p>
    <w:p w14:paraId="3321C1BD" w14:textId="77777777" w:rsidR="00344565" w:rsidRDefault="00344565" w:rsidP="00344565">
      <w:pPr>
        <w:spacing w:after="120"/>
      </w:pPr>
      <w:r>
        <w:t xml:space="preserve">Document title: Guide to the Summary of Economic Projections.  </w:t>
      </w:r>
    </w:p>
    <w:p w14:paraId="31124E85" w14:textId="77777777" w:rsidR="00344565" w:rsidRDefault="00344565" w:rsidP="00344565">
      <w:pPr>
        <w:spacing w:after="120"/>
      </w:pPr>
      <w:r>
        <w:t xml:space="preserve">URL: https://www.federalreserve.gov/monetarypolicy/guide-to-the-summary-of-economic-projections.htm  </w:t>
      </w:r>
    </w:p>
    <w:p w14:paraId="11FA73D8" w14:textId="265B1C82" w:rsidR="00F73528" w:rsidRDefault="00344565" w:rsidP="00344565">
      <w:pPr>
        <w:spacing w:after="120"/>
      </w:pPr>
      <w:r>
        <w:t>This is the Fed’s own official definition note for the SEP real-GDP growth variable; real GDP is the series published by BEA in the NIPA / GDP release.</w:t>
      </w:r>
    </w:p>
    <w:p w14:paraId="503AD233" w14:textId="77777777" w:rsidR="00F73528" w:rsidRDefault="00000000">
      <w:pPr>
        <w:pStyle w:val="Heading1"/>
        <w:spacing w:before="280" w:after="120"/>
      </w:pPr>
      <w:r>
        <w:rPr>
          <w:b/>
          <w:bCs/>
        </w:rPr>
        <w:t>4. Proposed build order for everything you greenlit</w:t>
      </w:r>
    </w:p>
    <w:p w14:paraId="7B9ED939" w14:textId="77777777" w:rsidR="00F73528" w:rsidRDefault="00000000">
      <w:pPr>
        <w:spacing w:after="100"/>
      </w:pPr>
      <w:r>
        <w:t>Sized so each batch is one working session and each ships validated. Veto or reorder anything; absent a veto this is the order I’ll work.</w:t>
      </w:r>
    </w:p>
    <w:p w14:paraId="180052BA" w14:textId="77777777" w:rsidR="00F73528" w:rsidRDefault="00000000">
      <w:pPr>
        <w:spacing w:after="100"/>
      </w:pPr>
      <w:r>
        <w:rPr>
          <w:b/>
          <w:bCs/>
        </w:rPr>
        <w:t xml:space="preserve">Batch A — small fixes, next code session. </w:t>
      </w:r>
      <w:r>
        <w:t xml:space="preserve">Fractional-date fix + the standing test script (wired into </w:t>
      </w:r>
      <w:proofErr w:type="spellStart"/>
      <w:r>
        <w:t>npm</w:t>
      </w:r>
      <w:proofErr w:type="spellEnd"/>
      <w:r>
        <w:t xml:space="preserve"> run validate, so it runs every time you do) · COUNTRY_LABEL backfill for all 34 countries + honest flag fallback · the hygiene trio (stale comment, shelf scrollbar, calendar map) · aspect-ratio fit · auto-loading research slices · wrong "instanced" comment · slider ranges per Q6 · ground grid per Q4.</w:t>
      </w:r>
    </w:p>
    <w:p w14:paraId="5F725627" w14:textId="77777777" w:rsidR="00F73528" w:rsidRDefault="00000000">
      <w:pPr>
        <w:spacing w:after="100"/>
      </w:pPr>
      <w:r>
        <w:rPr>
          <w:b/>
          <w:bCs/>
        </w:rPr>
        <w:t xml:space="preserve">Batch B — visible features. </w:t>
      </w:r>
      <w:r>
        <w:t>Relations rendering (with the shelf-definition fix riding along) · by-level filter row per Q7 · perf debug HUD · bundle split + async corpus load with a real loading indicator.</w:t>
      </w:r>
    </w:p>
    <w:p w14:paraId="405FF2EE" w14:textId="77777777" w:rsidR="00F73528" w:rsidRDefault="00000000">
      <w:pPr>
        <w:spacing w:after="100"/>
      </w:pPr>
      <w:r>
        <w:rPr>
          <w:b/>
          <w:bCs/>
        </w:rPr>
        <w:t xml:space="preserve">Batch C — the two you flagged hardest. </w:t>
      </w:r>
      <w:r>
        <w:t>Shareable view links ("absolute must") · calendar .</w:t>
      </w:r>
      <w:proofErr w:type="spellStart"/>
      <w:r>
        <w:t>ics</w:t>
      </w:r>
      <w:proofErr w:type="spellEnd"/>
      <w:r>
        <w:t xml:space="preserve"> export + a "this week" strip ("I need this") · then the upstream/downstream rim treatment as </w:t>
      </w:r>
      <w:proofErr w:type="spellStart"/>
      <w:r>
        <w:t>mockups</w:t>
      </w:r>
      <w:proofErr w:type="spellEnd"/>
      <w:r>
        <w:t xml:space="preserve"> first, per your design direction · shared unit geometries.</w:t>
      </w:r>
    </w:p>
    <w:p w14:paraId="3BF7695B" w14:textId="77777777" w:rsidR="00F73528" w:rsidRDefault="00000000">
      <w:pPr>
        <w:spacing w:after="100"/>
      </w:pPr>
      <w:r>
        <w:rPr>
          <w:b/>
          <w:bCs/>
        </w:rPr>
        <w:t xml:space="preserve">Their own sessions. </w:t>
      </w:r>
      <w:r>
        <w:t xml:space="preserve">Doc-drift reconciliation (you said full session — agreed) · Africa branch continuation (your chosen next branch) · </w:t>
      </w:r>
      <w:proofErr w:type="spellStart"/>
      <w:r>
        <w:t>reference_period</w:t>
      </w:r>
      <w:proofErr w:type="spellEnd"/>
      <w:r>
        <w:t xml:space="preserve"> expansion (after Batch A’s date fix; the fixed apply-script pattern debuts here) · batch-12 lead re-derivation · the four URL re-derivations + your three data calls (Q1–Q3) applied · verification-debt items · the Grok seed-edge results, once you run §3.</w:t>
      </w:r>
    </w:p>
    <w:p w14:paraId="1D919A2F" w14:textId="77777777" w:rsidR="00F73528" w:rsidRDefault="00000000">
      <w:pPr>
        <w:spacing w:after="100"/>
      </w:pPr>
      <w:r>
        <w:rPr>
          <w:i/>
          <w:iCs/>
          <w:color w:val="595959"/>
        </w:rPr>
        <w:t>That’s everything — 8 boxes, the rest logged. Hand it back whenever.</w:t>
      </w:r>
    </w:p>
    <w:sectPr w:rsidR="00F7352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B2696"/>
    <w:multiLevelType w:val="hybridMultilevel"/>
    <w:tmpl w:val="A9DE43DA"/>
    <w:lvl w:ilvl="0" w:tplc="78EEC3CE">
      <w:start w:val="1"/>
      <w:numFmt w:val="bullet"/>
      <w:lvlText w:val="●"/>
      <w:lvlJc w:val="left"/>
      <w:pPr>
        <w:ind w:left="720" w:hanging="360"/>
      </w:pPr>
    </w:lvl>
    <w:lvl w:ilvl="1" w:tplc="56429DE6">
      <w:start w:val="1"/>
      <w:numFmt w:val="bullet"/>
      <w:lvlText w:val="○"/>
      <w:lvlJc w:val="left"/>
      <w:pPr>
        <w:ind w:left="1440" w:hanging="360"/>
      </w:pPr>
    </w:lvl>
    <w:lvl w:ilvl="2" w:tplc="1DFCAE3E">
      <w:start w:val="1"/>
      <w:numFmt w:val="bullet"/>
      <w:lvlText w:val="■"/>
      <w:lvlJc w:val="left"/>
      <w:pPr>
        <w:ind w:left="2160" w:hanging="360"/>
      </w:pPr>
    </w:lvl>
    <w:lvl w:ilvl="3" w:tplc="EFA07858">
      <w:start w:val="1"/>
      <w:numFmt w:val="bullet"/>
      <w:lvlText w:val="●"/>
      <w:lvlJc w:val="left"/>
      <w:pPr>
        <w:ind w:left="2880" w:hanging="360"/>
      </w:pPr>
    </w:lvl>
    <w:lvl w:ilvl="4" w:tplc="4A200A94">
      <w:start w:val="1"/>
      <w:numFmt w:val="bullet"/>
      <w:lvlText w:val="○"/>
      <w:lvlJc w:val="left"/>
      <w:pPr>
        <w:ind w:left="3600" w:hanging="360"/>
      </w:pPr>
    </w:lvl>
    <w:lvl w:ilvl="5" w:tplc="399A5B0C">
      <w:start w:val="1"/>
      <w:numFmt w:val="bullet"/>
      <w:lvlText w:val="■"/>
      <w:lvlJc w:val="left"/>
      <w:pPr>
        <w:ind w:left="4320" w:hanging="360"/>
      </w:pPr>
    </w:lvl>
    <w:lvl w:ilvl="6" w:tplc="7186A4F4">
      <w:start w:val="1"/>
      <w:numFmt w:val="bullet"/>
      <w:lvlText w:val="●"/>
      <w:lvlJc w:val="left"/>
      <w:pPr>
        <w:ind w:left="5040" w:hanging="360"/>
      </w:pPr>
    </w:lvl>
    <w:lvl w:ilvl="7" w:tplc="AA6692CA">
      <w:start w:val="1"/>
      <w:numFmt w:val="bullet"/>
      <w:lvlText w:val="●"/>
      <w:lvlJc w:val="left"/>
      <w:pPr>
        <w:ind w:left="5760" w:hanging="360"/>
      </w:pPr>
    </w:lvl>
    <w:lvl w:ilvl="8" w:tplc="E78810FA">
      <w:start w:val="1"/>
      <w:numFmt w:val="bullet"/>
      <w:lvlText w:val="●"/>
      <w:lvlJc w:val="left"/>
      <w:pPr>
        <w:ind w:left="6480" w:hanging="360"/>
      </w:pPr>
    </w:lvl>
  </w:abstractNum>
  <w:num w:numId="1" w16cid:durableId="19075732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528"/>
    <w:rsid w:val="00335814"/>
    <w:rsid w:val="00344565"/>
    <w:rsid w:val="003A66F2"/>
    <w:rsid w:val="0086268C"/>
    <w:rsid w:val="009873CD"/>
    <w:rsid w:val="00AD093E"/>
    <w:rsid w:val="00D95671"/>
    <w:rsid w:val="00E27654"/>
    <w:rsid w:val="00F735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C1E47"/>
  <w15:docId w15:val="{4CAF2F7E-CF6E-415C-B9C9-6EE44E3CB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CA" w:eastAsia="en-CA"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5166</Words>
  <Characters>25730</Characters>
  <Application>Microsoft Office Word</Application>
  <DocSecurity>0</DocSecurity>
  <Lines>389</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Cheesman</cp:lastModifiedBy>
  <cp:revision>2</cp:revision>
  <dcterms:created xsi:type="dcterms:W3CDTF">2026-08-12T15:24:00Z</dcterms:created>
  <dcterms:modified xsi:type="dcterms:W3CDTF">2026-08-12T15:24:00Z</dcterms:modified>
</cp:coreProperties>
</file>