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Research brief: Texas and Houston</w:t>
      </w:r>
    </w:p>
    <w:p>
      <w:pPr>
        <w:spacing w:after="300"/>
      </w:pPr>
      <w:r>
        <w:rPr>
          <w:color w:val="666666"/>
          <w:sz w:val="21"/>
          <w:szCs w:val="21"/>
        </w:rPr>
        <w:t xml:space="preserve">10 August 2026 · for Grok · Economic Report Influence Graph</w:t>
      </w:r>
    </w:p>
    <w:p>
      <w:pPr>
        <w:spacing w:after="110"/>
      </w:pPr>
      <w:r>
        <w:rPr>
          <w:sz w:val="21"/>
          <w:szCs w:val="21"/>
        </w:rPr>
        <w:t xml:space="preserve">This is a request for structured research, not prose. The output feeds a graph of official economic and statistical reports and the documented dependencies between them. It currently holds 671 reports and 756 dependencies across Canada, the EU, Africa, Australasia and the United States.</w:t>
      </w:r>
    </w:p>
    <w:p>
      <w:pPr>
        <w:spacing w:after="110"/>
      </w:pPr>
      <w:r>
        <w:rPr>
          <w:sz w:val="21"/>
          <w:szCs w:val="21"/>
        </w:rPr>
        <w:t xml:space="preserve">California and Los Angeles have just been built out as the American worked example — 90 US reports now, 43 federal, 26 state, 16 county and municipal. Texas and Houston are the second sample, chosen because they should break the California pattern in interesting ways. What we want is not more of the same; it is the same questions answered differently, and the differences located precisely.</w:t>
      </w:r>
    </w:p>
    <w:p>
      <w:pPr>
        <w:pStyle w:val="Heading1"/>
        <w:spacing w:after="140" w:before="320"/>
      </w:pPr>
      <w:r>
        <w:t xml:space="preserve">1 · The rule that governs everything</w:t>
      </w:r>
    </w:p>
    <w:p>
      <w:pPr>
        <w:spacing w:after="110"/>
      </w:pPr>
      <w:r>
        <w:rPr>
          <w:b/>
          <w:bCs/>
          <w:sz w:val="21"/>
          <w:szCs w:val="21"/>
        </w:rPr>
        <w:t xml:space="preserve">A dependency exists only if a document says so. </w:t>
      </w:r>
      <w:r>
        <w:rPr>
          <w:sz w:val="21"/>
          <w:szCs w:val="21"/>
        </w:rPr>
        <w:t xml:space="preserve">If no document states that report A reads report B, the edge does not get created. Not a plausible mechanism, not an obvious inference, not "it must use this" — a document. Statute, regulation, a methodology page, an official notice, an agency letter, an audited financial report.</w:t>
      </w:r>
    </w:p>
    <w:p>
      <w:pPr>
        <w:spacing w:after="110"/>
      </w:pPr>
      <w:r>
        <w:rPr>
          <w:sz w:val="21"/>
          <w:szCs w:val="21"/>
        </w:rPr>
        <w:t xml:space="preserve">For every dependency you propose, supply the URL of the document that establishes it, and two to four sentences quoting or closely paraphrasing what that document actually says. The quotation is what makes the edge auditable later by someone who was not there.</w:t>
      </w:r>
    </w:p>
    <w:p>
      <w:pPr>
        <w:spacing w:after="110"/>
      </w:pPr>
      <w:r>
        <w:rPr>
          <w:b/>
          <w:bCs/>
          <w:sz w:val="21"/>
          <w:szCs w:val="21"/>
        </w:rPr>
        <w:t xml:space="preserve">Things you believe but cannot cite are valuable and must be returned separately. </w:t>
      </w:r>
      <w:r>
        <w:rPr>
          <w:sz w:val="21"/>
          <w:szCs w:val="21"/>
        </w:rPr>
        <w:t xml:space="preserve">Put them in a "could not cite" list with what you looked at and what would settle it. Do not present them as dependencies. In the existing corpus these are kept permanently as dropped notes, and they are read as often as the edges are.</w:t>
      </w:r>
    </w:p>
    <w:p>
      <w:pPr>
        <w:spacing w:after="110"/>
      </w:pPr>
      <w:r>
        <w:rPr>
          <w:b/>
          <w:bCs/>
          <w:sz w:val="21"/>
          <w:szCs w:val="21"/>
        </w:rPr>
        <w:t xml:space="preserve">Negative findings are first-class results. </w:t>
      </w:r>
      <w:r>
        <w:rPr>
          <w:sz w:val="21"/>
          <w:szCs w:val="21"/>
        </w:rPr>
        <w:t xml:space="preserve">The California pass produced two, and both are prized. Federal highway apportionment reads no statistical series at all — each state's share is frozen against its 2021 apportionment. And the LADWP rate adjustment factors read no index either; they are cost-recovery pass-throughs against the utility's own expenditures. If you go looking for an indexation link and find there genuinely isn't one, say so explicitly and cite it. That is a finding, not a failure.</w:t>
      </w:r>
    </w:p>
    <w:p>
      <w:pPr>
        <w:spacing w:after="110"/>
      </w:pPr>
      <w:r>
        <w:rPr>
          <w:b/>
          <w:bCs/>
          <w:sz w:val="21"/>
          <w:szCs w:val="21"/>
        </w:rPr>
        <w:t xml:space="preserve">Reading periods matter as much as the link. </w:t>
      </w:r>
      <w:r>
        <w:rPr>
          <w:sz w:val="21"/>
          <w:szCs w:val="21"/>
        </w:rPr>
        <w:t xml:space="preserve">Where a formula reads an input over a defined window or as of a fixed date — "the three most recent calendar years", "the January 1 lien date", "the 12 months ending September 30" — record it precisely. The graph models when a dependent reads its source as a separate fact from when the source publishes, because the same index reaches one consumer monthly and another once a year.</w:t>
      </w:r>
    </w:p>
    <w:p>
      <w:pPr>
        <w:pStyle w:val="Heading1"/>
        <w:spacing w:after="140" w:before="320"/>
      </w:pPr>
      <w:r>
        <w:t xml:space="preserve">2 · What to return, exactly</w:t>
      </w:r>
    </w:p>
    <w:p>
      <w:pPr>
        <w:spacing w:after="110"/>
      </w:pPr>
      <w:r>
        <w:rPr>
          <w:sz w:val="21"/>
          <w:szCs w:val="21"/>
        </w:rPr>
        <w:t xml:space="preserve">For each report (a node):</w:t>
      </w:r>
    </w:p>
    <w:p>
      <w:pPr>
        <w:spacing w:after="60"/>
      </w:pPr>
      <w:r>
        <w:rPr>
          <w:rFonts w:ascii="Consolas" w:cs="Consolas" w:eastAsia="Consolas" w:hAnsi="Consolas"/>
          <w:sz w:val="18"/>
          <w:szCs w:val="18"/>
        </w:rPr>
        <w:t xml:space="preserve">id, title, publisher, jurisdiction_level, region, description,</w:t>
      </w:r>
    </w:p>
    <w:p>
      <w:pPr>
        <w:spacing w:after="60"/>
      </w:pPr>
      <w:r>
        <w:rPr>
          <w:rFonts w:ascii="Consolas" w:cs="Consolas" w:eastAsia="Consolas" w:hAnsi="Consolas"/>
          <w:sz w:val="18"/>
          <w:szCs w:val="18"/>
        </w:rPr>
        <w:t xml:space="preserve">releases_per_year, url, domains</w:t>
      </w:r>
    </w:p>
    <w:p>
      <w:pPr>
        <w:spacing w:after="110"/>
      </w:pPr>
      <w:r>
        <w:rPr>
          <w:sz w:val="21"/>
          <w:szCs w:val="21"/>
        </w:rPr>
        <w:t xml:space="preserve">`jurisdiction_level` is one of: federal, provincial, municipal, institutional. A US state body is `provincial`. A county, city, school district, appraisal district or special district is `municipal`. A standards board or a private body whose output is depended upon is `institutional`.</w:t>
      </w:r>
    </w:p>
    <w:p>
      <w:pPr>
        <w:spacing w:after="110"/>
      </w:pPr>
      <w:r>
        <w:rPr>
          <w:sz w:val="21"/>
          <w:szCs w:val="21"/>
        </w:rPr>
        <w:t xml:space="preserve">`releases_per_year` is fractional below annual — a biennial report is 0.5, a quinquennial census 0.2. Omit it entirely for a one-off instrument that will never be reissued, such as a constitutional amendment or a statute.</w:t>
      </w:r>
    </w:p>
    <w:p>
      <w:pPr>
        <w:spacing w:after="110"/>
      </w:pPr>
      <w:r>
        <w:rPr>
          <w:sz w:val="21"/>
          <w:szCs w:val="21"/>
        </w:rPr>
        <w:t xml:space="preserve">`url` is the landing page for the ongoing programme, not a single edition.</w:t>
      </w:r>
    </w:p>
    <w:p>
      <w:pPr>
        <w:spacing w:after="110"/>
      </w:pPr>
      <w:r>
        <w:rPr>
          <w:sz w:val="21"/>
          <w:szCs w:val="21"/>
        </w:rPr>
        <w:t xml:space="preserve">`domains` must come only from this list: inflation, labour, monetary-policy, national-accounts, benefits, interest-rates, municipal-finance, education, post-secondary, health, fiscal-transfers, population, taxation, assessment, energy-royalties, banking, financial-regulation, construction, insurance, research-innovation, agriculture, external-action.</w:t>
      </w:r>
    </w:p>
    <w:p>
      <w:pPr>
        <w:spacing w:after="110"/>
      </w:pPr>
      <w:r>
        <w:rPr>
          <w:sz w:val="21"/>
          <w:szCs w:val="21"/>
        </w:rPr>
        <w:t xml:space="preserve">For each dependency (an edge):</w:t>
      </w:r>
    </w:p>
    <w:p>
      <w:pPr>
        <w:spacing w:after="60"/>
      </w:pPr>
      <w:r>
        <w:rPr>
          <w:rFonts w:ascii="Consolas" w:cs="Consolas" w:eastAsia="Consolas" w:hAnsi="Consolas"/>
          <w:sz w:val="18"/>
          <w:szCs w:val="18"/>
        </w:rPr>
        <w:t xml:space="preserve">source_report_id  — the report doing the referencing</w:t>
      </w:r>
    </w:p>
    <w:p>
      <w:pPr>
        <w:spacing w:after="60"/>
      </w:pPr>
      <w:r>
        <w:rPr>
          <w:rFonts w:ascii="Consolas" w:cs="Consolas" w:eastAsia="Consolas" w:hAnsi="Consolas"/>
          <w:sz w:val="18"/>
          <w:szCs w:val="18"/>
        </w:rPr>
        <w:t xml:space="preserve">target_report_id  — the report being depended upon</w:t>
      </w:r>
    </w:p>
    <w:p>
      <w:pPr>
        <w:spacing w:after="60"/>
      </w:pPr>
      <w:r>
        <w:rPr>
          <w:rFonts w:ascii="Consolas" w:cs="Consolas" w:eastAsia="Consolas" w:hAnsi="Consolas"/>
          <w:sz w:val="18"/>
          <w:szCs w:val="18"/>
        </w:rPr>
        <w:t xml:space="preserve">relationship_type — calculated_from | uses_data_from |</w:t>
      </w:r>
    </w:p>
    <w:p>
      <w:pPr>
        <w:spacing w:after="60"/>
      </w:pPr>
      <w:r>
        <w:rPr>
          <w:rFonts w:ascii="Consolas" w:cs="Consolas" w:eastAsia="Consolas" w:hAnsi="Consolas"/>
          <w:sz w:val="18"/>
          <w:szCs w:val="18"/>
        </w:rPr>
        <w:t xml:space="preserve">                    methodology_depends_on | cites</w:t>
      </w:r>
    </w:p>
    <w:p>
      <w:pPr>
        <w:spacing w:after="60"/>
      </w:pPr>
      <w:r>
        <w:rPr>
          <w:rFonts w:ascii="Consolas" w:cs="Consolas" w:eastAsia="Consolas" w:hAnsi="Consolas"/>
          <w:sz w:val="18"/>
          <w:szCs w:val="18"/>
        </w:rPr>
        <w:t xml:space="preserve">basis             — the quotation, 2-4 sentences</w:t>
      </w:r>
    </w:p>
    <w:p>
      <w:pPr>
        <w:spacing w:after="60"/>
      </w:pPr>
      <w:r>
        <w:rPr>
          <w:rFonts w:ascii="Consolas" w:cs="Consolas" w:eastAsia="Consolas" w:hAnsi="Consolas"/>
          <w:sz w:val="18"/>
          <w:szCs w:val="18"/>
        </w:rPr>
        <w:t xml:space="preserve">evidence_url      — the document establishing it</w:t>
      </w:r>
    </w:p>
    <w:p>
      <w:pPr>
        <w:spacing w:after="60"/>
      </w:pPr>
      <w:r>
        <w:rPr>
          <w:rFonts w:ascii="Consolas" w:cs="Consolas" w:eastAsia="Consolas" w:hAnsi="Consolas"/>
          <w:sz w:val="18"/>
          <w:szCs w:val="18"/>
        </w:rPr>
        <w:t xml:space="preserve">reference_period  — the reading window, where stated</w:t>
      </w:r>
    </w:p>
    <w:p>
      <w:pPr>
        <w:pStyle w:val="Heading1"/>
        <w:spacing w:after="140" w:before="320"/>
      </w:pPr>
      <w:r>
        <w:t xml:space="preserve">3 · Texas — the structural contrasts to test</w:t>
      </w:r>
    </w:p>
    <w:p>
      <w:pPr>
        <w:spacing w:after="110"/>
      </w:pPr>
      <w:r>
        <w:rPr>
          <w:sz w:val="21"/>
          <w:szCs w:val="21"/>
        </w:rPr>
        <w:t xml:space="preserve">The point of Texas is that it should answer the same questions differently from California. These are the places we expect divergence. Confirm or refute each; a refuted expectation is as useful as a confirmed one.</w:t>
      </w:r>
    </w:p>
    <w:p>
      <w:pPr>
        <w:pStyle w:val="Heading2"/>
        <w:spacing w:after="80" w:before="220"/>
      </w:pPr>
      <w:r>
        <w:t xml:space="preserve">Property tax: a rate cap instead of a value cap</w:t>
      </w:r>
    </w:p>
    <w:p>
      <w:pPr>
        <w:spacing w:after="110"/>
      </w:pPr>
      <w:r>
        <w:rPr>
          <w:sz w:val="21"/>
          <w:szCs w:val="21"/>
        </w:rPr>
        <w:t xml:space="preserve">California caps the growth of assessed value at 2 percent through Proposition 13, applied by county assessors on a Board of Equalization instruction. Texas appears to do the opposite — it caps the tax rate rather than the value, through truth-in-taxation. Establish the no-new-revenue rate and the voter-approval tax rate, their statutory basis in the Tax Code, the 3.5 percent and 2.5 percent thresholds and who they apply to, and exactly which published values the calculation reads.</w:t>
      </w:r>
    </w:p>
    <w:p>
      <w:pPr>
        <w:spacing w:after="110"/>
      </w:pPr>
      <w:r>
        <w:rPr>
          <w:sz w:val="21"/>
          <w:szCs w:val="21"/>
        </w:rPr>
        <w:t xml:space="preserve">Texas also separates appraisal from the county entirely: county appraisal districts are their own entities with their own boards, and Harris County Appraisal District is the relevant one for Houston. Establish what the appraisal district publishes, who receives it, and what governs the appraisal — including the 10 percent homestead appraisal cap, which is a value cap of a different shape from Proposition 13.</w:t>
      </w:r>
    </w:p>
    <w:p>
      <w:pPr>
        <w:pStyle w:val="Heading2"/>
        <w:spacing w:after="80" w:before="220"/>
      </w:pPr>
      <w:r>
        <w:t xml:space="preserve">The Comptroller's Property Value Study — the piece with no California equivalent</w:t>
      </w:r>
    </w:p>
    <w:p>
      <w:pPr>
        <w:spacing w:after="110"/>
      </w:pPr>
      <w:r>
        <w:rPr>
          <w:sz w:val="21"/>
          <w:szCs w:val="21"/>
        </w:rPr>
        <w:t xml:space="preserve">The Texas Comptroller conducts a study of school district property values that determines state education aid. This is the single most interesting structure in Texas for our purposes: a state agency audits local appraisals, and the audited number rather than the local one drives the money. Establish what the study publishes, its statutory basis, its cycle, what it reads from appraisal districts, and precisely how its output enters the school funding formula.</w:t>
      </w:r>
    </w:p>
    <w:p>
      <w:pPr>
        <w:pStyle w:val="Heading2"/>
        <w:spacing w:after="80" w:before="220"/>
      </w:pPr>
      <w:r>
        <w:t xml:space="preserve">School finance: recapture, and a legislature that meets every other year</w:t>
      </w:r>
    </w:p>
    <w:p>
      <w:pPr>
        <w:spacing w:after="110"/>
      </w:pPr>
      <w:r>
        <w:rPr>
          <w:sz w:val="21"/>
          <w:szCs w:val="21"/>
        </w:rPr>
        <w:t xml:space="preserve">The Foundation School Program, the basic allotment, tax rate compression under HB 3, and the recapture provisions in Chapter 49 of the Education Code. Establish what published values each reads. Recapture in particular — a district sending money back to the state — has no analogue in the California material and we would like it mapped properly.</w:t>
      </w:r>
    </w:p>
    <w:p>
      <w:pPr>
        <w:spacing w:after="110"/>
      </w:pPr>
      <w:r>
        <w:rPr>
          <w:sz w:val="21"/>
          <w:szCs w:val="21"/>
        </w:rPr>
        <w:t xml:space="preserve">Note also that Texas budgets biennially, and the Comptroller's Biennial Revenue Estimate is constitutionally binding on appropriations. California produces an annual Governor's Budget with a May Revision. Establish what the Biennial Revenue Estimate documents itself as reading.</w:t>
      </w:r>
    </w:p>
    <w:p>
      <w:pPr>
        <w:pStyle w:val="Heading2"/>
        <w:spacing w:after="80" w:before="220"/>
      </w:pPr>
      <w:r>
        <w:t xml:space="preserve">Revenue without an income tax</w:t>
      </w:r>
    </w:p>
    <w:p>
      <w:pPr>
        <w:spacing w:after="110"/>
      </w:pPr>
      <w:r>
        <w:rPr>
          <w:sz w:val="21"/>
          <w:szCs w:val="21"/>
        </w:rPr>
        <w:t xml:space="preserve">Texas has no state personal income tax. Establish what replaces it structurally: the sales and use tax, the franchise or margin tax, and the oil and gas severance taxes. The severance taxes are worth particular attention because the Economic Stabilization Fund transfer is set by a constitutional formula against severance tax collections — a documented dependency of exactly the kind this graph is built from. Establish the formula and what it reads.</w:t>
      </w:r>
    </w:p>
    <w:p>
      <w:pPr>
        <w:spacing w:after="110"/>
      </w:pPr>
      <w:r>
        <w:rPr>
          <w:sz w:val="21"/>
          <w:szCs w:val="21"/>
        </w:rPr>
        <w:t xml:space="preserve">The Permanent School Fund and Available School Fund are the other distinctive piece: land and mineral royalties funding schools directly. Establish what is published, on what cycle, and what the distribution formula reads.</w:t>
      </w:r>
    </w:p>
    <w:p>
      <w:pPr>
        <w:pStyle w:val="Heading2"/>
        <w:spacing w:after="80" w:before="220"/>
      </w:pPr>
      <w:r>
        <w:t xml:space="preserve">Houston specifically</w:t>
      </w:r>
    </w:p>
    <w:p>
      <w:pPr>
        <w:spacing w:after="110"/>
      </w:pPr>
      <w:r>
        <w:rPr>
          <w:sz w:val="21"/>
          <w:szCs w:val="21"/>
        </w:rPr>
        <w:t xml:space="preserve">The City of Houston revenue cap adopted by voters in 2004 limits property tax revenue growth to the lesser of 4.5 percent or the combined rate of inflation and population growth. If that is accurate it is a direct structural analogue of California's Gann limit, and we want it precisely: which inflation measure, which population measure, who publishes each, and over what period. This is the highest-value single item in the Houston list.</w:t>
      </w:r>
    </w:p>
    <w:p>
      <w:pPr>
        <w:spacing w:after="110"/>
      </w:pPr>
      <w:r>
        <w:rPr>
          <w:sz w:val="21"/>
          <w:szCs w:val="21"/>
        </w:rPr>
        <w:t xml:space="preserve">Then: the Harris County budget and annual financial report; Houston's own budget and annual comprehensive financial report; Houston Independent School District, currently under state takeover, which may make its funding documents unusually explicit; and the Metropolitan Transit Authority of Harris County, funded by a one percent sales tax, as the counterpart to LA Metro.</w:t>
      </w:r>
    </w:p>
    <w:p>
      <w:pPr>
        <w:spacing w:after="110"/>
      </w:pPr>
      <w:r>
        <w:rPr>
          <w:sz w:val="21"/>
          <w:szCs w:val="21"/>
        </w:rPr>
        <w:t xml:space="preserve">Two Houston-specific structures with no Los Angeles equivalent are worth hunting: Municipal Utility Districts, which issue debt and levy taxes across the suburban Houston region, and Tax Increment Reinvestment Zones. Both are municipal-level entities that publish. And Houston has no zoning, which means there is nothing resembling California's regional housing needs allocation — confirm that absence rather than assuming it.</w:t>
      </w:r>
    </w:p>
    <w:p>
      <w:pPr>
        <w:pStyle w:val="Heading1"/>
        <w:spacing w:after="140" w:before="320"/>
      </w:pPr>
      <w:r>
        <w:t xml:space="preserve">4 · What the California pass found, as a template</w:t>
      </w:r>
    </w:p>
    <w:p>
      <w:pPr>
        <w:spacing w:after="110"/>
      </w:pPr>
      <w:r>
        <w:rPr>
          <w:sz w:val="21"/>
          <w:szCs w:val="21"/>
        </w:rPr>
        <w:t xml:space="preserve">So that "done" is legible. The California work produced 57 reports and 67 edges across two passes. The findings that made it worth doing:</w:t>
      </w:r>
    </w:p>
    <w:p>
      <w:pPr>
        <w:spacing w:after="110"/>
      </w:pPr>
      <w:r>
        <w:rPr>
          <w:sz w:val="21"/>
          <w:szCs w:val="21"/>
        </w:rPr>
        <w:t xml:space="preserve">California legislates against at least five different price indexes and almost never the same one twice. The minimum wage reads the federal CPI-W, named specifically in Labor Code §1182.12 so that CPI-U will not substitute. Income tax brackets and the fuel excise tax read the California CPI. Welfare payments read a purpose-built California Necessities Index built from CPI components under a different weighting. Property assessment reads the California CPI through a Board of Equalization letter to all 58 county assessors. Rent control reads a Los Angeles metropolitan CPI — at 90 percent of it in the city and 60 percent of it in the county, same index, two different political answers. Each of those choices is a policy decision hiding inside a technical citation, and the graph makes them comparable for the first time.</w:t>
      </w:r>
    </w:p>
    <w:p>
      <w:pPr>
        <w:spacing w:after="110"/>
      </w:pPr>
      <w:r>
        <w:rPr>
          <w:sz w:val="21"/>
          <w:szCs w:val="21"/>
        </w:rPr>
        <w:t xml:space="preserve">The equivalent question for Texas is: which indexes does Texas name, where, and why those. We expect fewer and blunter, but that is a hypothesis.</w:t>
      </w:r>
    </w:p>
    <w:p>
      <w:pPr>
        <w:spacing w:after="110"/>
      </w:pPr>
      <w:r>
        <w:rPr>
          <w:sz w:val="21"/>
          <w:szCs w:val="21"/>
        </w:rPr>
        <w:t xml:space="preserve">The other structure worth replicating is the pension chain: an experience study sets actuarial assumptions, the assumptions set a valuation, the valuation sets a contribution rate, and the rate lands in a government budget one or two years later. It is the longest documented lag in the corpus. Texas has ERS and TRS; the same chain should exist and the lag should be measurable.</w:t>
      </w:r>
    </w:p>
    <w:p>
      <w:pPr>
        <w:pStyle w:val="Heading1"/>
        <w:spacing w:after="140" w:before="320"/>
      </w:pPr>
      <w:r>
        <w:t xml:space="preserve">5 · Specific items California left unresolved</w:t>
      </w:r>
    </w:p>
    <w:p>
      <w:pPr>
        <w:spacing w:after="110"/>
      </w:pPr>
      <w:r>
        <w:rPr>
          <w:sz w:val="21"/>
          <w:szCs w:val="21"/>
        </w:rPr>
        <w:t xml:space="preserve">These are ours, not Texas's, and any of them would be welcome alongside the Texas work. Each was researched, believed, and could not be evidenced to the standard above.</w:t>
      </w:r>
    </w:p>
    <w:p>
      <w:pPr>
        <w:spacing w:after="110"/>
      </w:pPr>
      <w:r>
        <w:rPr>
          <w:b/>
          <w:bCs/>
          <w:sz w:val="21"/>
          <w:szCs w:val="21"/>
        </w:rPr>
        <w:t xml:space="preserve">The BEA deflator behind the school funding COLA. </w:t>
      </w:r>
      <w:r>
        <w:rPr>
          <w:sz w:val="21"/>
          <w:szCs w:val="21"/>
        </w:rPr>
        <w:t xml:space="preserve">California Education Code §42238.02 defines the Local Control Funding Formula cost-of-living adjustment by reference to "the Implicit Price Deflator for State and Local Government Purchases of Goods and Services for the United States", for the 12-month period ending in the third quarter of the prior fiscal year, read as of a fixed May 10 date. The statute is clear. What we could not confirm is exactly which published BEA table that series lives in, and we declined to invent a URL. Pin the table down and the edge can be created.</w:t>
      </w:r>
    </w:p>
    <w:p>
      <w:pPr>
        <w:spacing w:after="110"/>
      </w:pPr>
      <w:r>
        <w:rPr>
          <w:b/>
          <w:bCs/>
          <w:sz w:val="21"/>
          <w:szCs w:val="21"/>
        </w:rPr>
        <w:t xml:space="preserve">Los Angeles Unified School District's funding inputs. </w:t>
      </w:r>
      <w:r>
        <w:rPr>
          <w:sz w:val="21"/>
          <w:szCs w:val="21"/>
        </w:rPr>
        <w:t xml:space="preserve">The district's budget pages are JavaScript-rendered and a direct fetch returns an empty shell. The district is currently in the graph as a deliberate island with no edges. Its Local Control Funding Formula dependency and its county property tax apportionment dependency are both almost certainly real and both unevidenced.</w:t>
      </w:r>
    </w:p>
    <w:p>
      <w:pPr>
        <w:spacing w:after="110"/>
      </w:pPr>
      <w:r>
        <w:rPr>
          <w:b/>
          <w:bCs/>
          <w:sz w:val="21"/>
          <w:szCs w:val="21"/>
        </w:rPr>
        <w:t xml:space="preserve">Where the California Necessities Index is actually published. </w:t>
      </w:r>
      <w:r>
        <w:rPr>
          <w:sz w:val="21"/>
          <w:szCs w:val="21"/>
        </w:rPr>
        <w:t xml:space="preserve">The statutory duty to compute it is unambiguous, but no standing Department of Finance page publishing the series could be found. A number that sets welfare payments for around a million people appears to have no home page. If it has one, we want it.</w:t>
      </w:r>
    </w:p>
    <w:p>
      <w:pPr>
        <w:spacing w:after="110"/>
      </w:pPr>
      <w:r>
        <w:rPr>
          <w:b/>
          <w:bCs/>
          <w:sz w:val="21"/>
          <w:szCs w:val="21"/>
        </w:rPr>
        <w:t xml:space="preserve">The AB 8 property tax apportionment methodology for Los Angeles County. </w:t>
      </w:r>
      <w:r>
        <w:rPr>
          <w:sz w:val="21"/>
          <w:szCs w:val="21"/>
        </w:rPr>
        <w:t xml:space="preserve">The Auditor-Controller publishes a file literally named for AB 8, but no county document spelling out the allocation methodology could be retrieved. A State Controller audit of exactly this process exists and returned a 403.</w:t>
      </w:r>
    </w:p>
    <w:p>
      <w:pPr>
        <w:spacing w:after="110"/>
      </w:pPr>
      <w:r>
        <w:rPr>
          <w:b/>
          <w:bCs/>
          <w:sz w:val="21"/>
          <w:szCs w:val="21"/>
        </w:rPr>
        <w:t xml:space="preserve">Whether the Financial Accounts of the United States read the Census government finance surveys. </w:t>
      </w:r>
      <w:r>
        <w:rPr>
          <w:sz w:val="21"/>
          <w:szCs w:val="21"/>
        </w:rPr>
        <w:t xml:space="preserve">The Z.1 introductory text references "detailed annual survey data ... from the Census Bureau" for the state and local sector but does not name the survey, and it could plausibly mean the Quarterly Survey of Public Pensions instead. The per-table source notes in the Financial Accounts Guide would settle it.</w:t>
      </w:r>
    </w:p>
    <w:p>
      <w:pPr>
        <w:pStyle w:val="Heading1"/>
        <w:spacing w:after="140" w:before="320"/>
      </w:pPr>
      <w:r>
        <w:t xml:space="preserve">6 · How to keep it useful</w:t>
      </w:r>
    </w:p>
    <w:p>
      <w:pPr>
        <w:spacing w:after="110"/>
      </w:pPr>
      <w:r>
        <w:rPr>
          <w:sz w:val="21"/>
          <w:szCs w:val="21"/>
        </w:rPr>
        <w:t xml:space="preserve">Aim for 25 to 35 well-evidenced reports and whatever edges follow, rather than a hundred thin ones. A wrong citation is worse than a missing one, because a wrong one gets believed. Where you are uncertain, say so in the basis text — the corpus carries caveats inside the evidence and they survive into the rendering.</w:t>
      </w:r>
    </w:p>
    <w:p>
      <w:pPr>
        <w:spacing w:after="110"/>
      </w:pPr>
      <w:r>
        <w:rPr>
          <w:sz w:val="21"/>
          <w:szCs w:val="21"/>
        </w:rPr>
        <w:t xml:space="preserve">If a document names a period, quote the period. If a formula names a cap or a floor, give the numbers. If an agency publishes a letter to other agencies instructing them what value to use, that letter is a node and it is usually the most important one in the chain — the Board of Equalization letter to California assessors is one short annual document that sets the growth rate of the entire state property tax base, and it was the single best find of the California pass.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2026-08-10T14:49:11.084Z</dcterms:created>
  <dcterms:modified xsi:type="dcterms:W3CDTF">2026-08-10T14:49:11.085Z</dcterms:modified>
</cp:coreProperties>
</file>

<file path=docProps/custom.xml><?xml version="1.0" encoding="utf-8"?>
<Properties xmlns="http://schemas.openxmlformats.org/officeDocument/2006/custom-properties" xmlns:vt="http://schemas.openxmlformats.org/officeDocument/2006/docPropsVTypes"/>
</file>