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Follow-up brief: the county tier, and what round one left open</w:t>
      </w:r>
    </w:p>
    <w:p>
      <w:pPr>
        <w:spacing w:after="300"/>
      </w:pPr>
      <w:r>
        <w:rPr>
          <w:color w:val="666666"/>
          <w:sz w:val="21"/>
          <w:szCs w:val="21"/>
        </w:rPr>
        <w:t xml:space="preserve">10 August 2026 · for Grok · Economic Report Influence Graph · round two</w:t>
      </w:r>
    </w:p>
    <w:p>
      <w:pPr>
        <w:spacing w:after="110"/>
      </w:pPr>
      <w:r>
        <w:rPr>
          <w:sz w:val="21"/>
          <w:szCs w:val="21"/>
        </w:rPr>
        <w:t xml:space="preserve">Your Texas and Houston round landed. The corpus now holds 714 reports and 798 dependencies, of which 133 are American — 44 federal, 52 state, 32 county and municipal. The structural contrasts you identified were right and are now in the data where they can be compared node by node against California.</w:t>
      </w:r>
    </w:p>
    <w:p>
      <w:pPr>
        <w:pStyle w:val="Heading1"/>
        <w:spacing w:after="140" w:before="320"/>
      </w:pPr>
      <w:r>
        <w:t xml:space="preserve">First, feedback you can act on</w:t>
      </w:r>
    </w:p>
    <w:p>
      <w:pPr>
        <w:spacing w:after="110"/>
      </w:pPr>
      <w:r>
        <w:rPr>
          <w:sz w:val="21"/>
          <w:szCs w:val="21"/>
        </w:rPr>
        <w:t xml:space="preserve">The structure and the instincts were good. One thing systematically was not, and fixing it would make the next round land without intervention.</w:t>
      </w:r>
    </w:p>
    <w:p>
      <w:pPr>
        <w:spacing w:after="110"/>
      </w:pPr>
      <w:r>
        <w:rPr>
          <w:b/>
          <w:bCs/>
          <w:sz w:val="21"/>
          <w:szCs w:val="21"/>
        </w:rPr>
        <w:t xml:space="preserve">Roughly two evidence_url fields in five were pointers rather than documents. </w:t>
      </w:r>
      <w:r>
        <w:rPr>
          <w:sz w:val="21"/>
          <w:szCs w:val="21"/>
        </w:rPr>
        <w:t xml:space="preserve">"TEA school finance pages", "PSF / SBOE materials", "TRS reports", "BLS CPI pages", "Houston Code of Ordinances / Charter (Municode)", "Individual district sites or bond disclosure documents". Those describe where a document would be. They are not citations, and nothing built on them can be audited later. Everything had to go through a resolution pass before it could be used.</w:t>
      </w:r>
    </w:p>
    <w:p>
      <w:pPr>
        <w:spacing w:after="110"/>
      </w:pPr>
      <w:r>
        <w:rPr>
          <w:sz w:val="21"/>
          <w:szCs w:val="21"/>
        </w:rPr>
        <w:t xml:space="preserve">That pass caught four errors, and this is the useful part: none of them looked wrong on the page. They were confident, specific and incorrect, which is exactly the failure the "does this seem plausible" test does not catch.</w:t>
      </w:r>
    </w:p>
    <w:p>
      <w:pPr>
        <w:spacing w:after="110"/>
      </w:pPr>
      <w:r>
        <w:rPr>
          <w:sz w:val="21"/>
          <w:szCs w:val="21"/>
        </w:rPr>
        <w:t xml:space="preserve">The Economic Stabilization Fund transfer was described as a single combined oil-and-gas threshold with the remainder going to the highway fund. In fact oil and gas are two separate transfers under §49-g(d) and (e) with separate fiscal 1987 baselines, so one can trigger while the other does not; the retained 25 percent goes to general revenue; and the highway fund share comes from splitting the 75 percent afterwards. The $531.9 million and $599.8 million figures are Comptroller-published, not constitutional text.</w:t>
      </w:r>
    </w:p>
    <w:p>
      <w:pPr>
        <w:spacing w:after="110"/>
      </w:pPr>
      <w:r>
        <w:rPr>
          <w:sz w:val="21"/>
          <w:szCs w:val="21"/>
        </w:rPr>
        <w:t xml:space="preserve">The Property Value Study was described as replacing invalid local values with state values. It is conditional and asymmetric: a valid local value is presumed correct, and where the local value is invalid the state value applies only if the local one is not higher. The asymmetry always favours the larger number, and therefore less state aid — which is the interesting part and was lost in the simplification.</w:t>
      </w:r>
    </w:p>
    <w:p>
      <w:pPr>
        <w:spacing w:after="110"/>
      </w:pPr>
      <w:r>
        <w:rPr>
          <w:sz w:val="21"/>
          <w:szCs w:val="21"/>
        </w:rPr>
        <w:t xml:space="preserve">Houston's revenue cap was described as adjusting the prior year's cap. It adjusts a fiscal 2005 base cumulatively, and Proposition H of 2006 adds $90 million that the account omitted entirely.</w:t>
      </w:r>
    </w:p>
    <w:p>
      <w:pPr>
        <w:spacing w:after="110"/>
      </w:pPr>
      <w:r>
        <w:rPr>
          <w:sz w:val="21"/>
          <w:szCs w:val="21"/>
        </w:rPr>
        <w:t xml:space="preserve">Truth-in-taxation certification was attributed to §26.04. It is §26.01(a) — chief appraiser to the assessor by July 25 — with §26.04(b) the following step. Two nodes in a chain, not one.</w:t>
      </w:r>
    </w:p>
    <w:p>
      <w:pPr>
        <w:spacing w:after="110"/>
      </w:pPr>
      <w:r>
        <w:rPr>
          <w:b/>
          <w:bCs/>
          <w:sz w:val="21"/>
          <w:szCs w:val="21"/>
        </w:rPr>
        <w:t xml:space="preserve">So: if you cannot reach a document, say so rather than describing where it lives. </w:t>
      </w:r>
      <w:r>
        <w:rPr>
          <w:sz w:val="21"/>
          <w:szCs w:val="21"/>
        </w:rPr>
        <w:t xml:space="preserve">A "could not cite" entry is a first-class result and gets kept permanently. A pointer costs more than a blank, because it looks like evidence.</w:t>
      </w:r>
    </w:p>
    <w:p>
      <w:pPr>
        <w:pStyle w:val="Heading1"/>
        <w:spacing w:after="140" w:before="320"/>
      </w:pPr>
      <w:r>
        <w:t xml:space="preserve">The main request: counties as a tier</w:t>
      </w:r>
    </w:p>
    <w:p>
      <w:pPr>
        <w:spacing w:after="110"/>
      </w:pPr>
      <w:r>
        <w:rPr>
          <w:sz w:val="21"/>
          <w:szCs w:val="21"/>
        </w:rPr>
        <w:t xml:space="preserve">Counties were the gap in round one and are the gap generally. This corpus has treated a county as the place a city sits rather than as a government that raises and spends money on its own account. Both American samples have now been extended and the contrast is stark enough to be worth pushing much further.</w:t>
      </w:r>
    </w:p>
    <w:p>
      <w:pPr>
        <w:spacing w:after="110"/>
      </w:pPr>
      <w:r>
        <w:rPr>
          <w:sz w:val="21"/>
          <w:szCs w:val="21"/>
        </w:rPr>
        <w:t xml:space="preserve">California funds counties from the state: two realignments, 1991 and 2011, hand counties health, welfare, mental health, community corrections and trial court security, financed by dedicated shares of the state sales tax and vehicle licence fees. A Californian county is largely a delivery agent for formulas written in Sacramento. Texas gives counties almost no ordinance power and instead lets services be constituted as separate districts that levy their own property tax — flood control, hospital, emergency services, community college, port. The Harris County Assessor-Collector collects for seventy separate taxing entities.</w:t>
      </w:r>
    </w:p>
    <w:p>
      <w:pPr>
        <w:spacing w:after="110"/>
      </w:pPr>
      <w:r>
        <w:rPr>
          <w:b/>
          <w:bCs/>
          <w:sz w:val="21"/>
          <w:szCs w:val="21"/>
        </w:rPr>
        <w:t xml:space="preserve">The finding to test against other states. </w:t>
      </w:r>
      <w:r>
        <w:rPr>
          <w:sz w:val="21"/>
          <w:szCs w:val="21"/>
        </w:rPr>
        <w:t xml:space="preserve">California indexes a great deal — five different price indexes across wages, rents, taxes and welfare grants — and indexes almost none of what it sends to counties. The 1991 Realignment base is a ratchet against 1991-92 percentages. Its growth account references a report dated September 1991. The county share of in-home supportive services escalates at a flat 4 percent named in statute. The Proposition 172 within-county split is measured against 1993-94 property tax losses. Only the county-level Proposition 172 ratio reads anything current. Is that a California habit, or is it what state-to-county transfer formulas look like everywhere? Test it.</w:t>
      </w:r>
    </w:p>
    <w:p>
      <w:pPr>
        <w:pStyle w:val="Heading2"/>
        <w:spacing w:after="80" w:before="220"/>
      </w:pPr>
      <w:r>
        <w:t xml:space="preserve">What we want on counties, specifically</w:t>
      </w:r>
    </w:p>
    <w:p>
      <w:pPr>
        <w:spacing w:after="110"/>
      </w:pPr>
      <w:r>
        <w:rPr>
          <w:sz w:val="21"/>
          <w:szCs w:val="21"/>
        </w:rPr>
        <w:t xml:space="preserve">Pick two or three states whose county tier is structurally unlike both California and Texas, and map the money. Suggestions, though your judgement on which are most different is welcome:</w:t>
      </w:r>
    </w:p>
    <w:p>
      <w:pPr>
        <w:spacing w:after="110"/>
      </w:pPr>
      <w:r>
        <w:rPr>
          <w:sz w:val="21"/>
          <w:szCs w:val="21"/>
        </w:rPr>
        <w:t xml:space="preserve">New York, where counties administer Medicaid and carry a local share of it — a county-level cost driver with no Californian or Texan equivalent. Establish what the local share formula reads and whether it is capped or indexed.</w:t>
      </w:r>
    </w:p>
    <w:p>
      <w:pPr>
        <w:spacing w:after="110"/>
      </w:pPr>
      <w:r>
        <w:rPr>
          <w:sz w:val="21"/>
          <w:szCs w:val="21"/>
        </w:rPr>
        <w:t xml:space="preserve">Pennsylvania or Ohio, where townships are a real tier beneath the county and above nothing — a fourth level this corpus has never modelled. Establish what a township publishes and what it levies.</w:t>
      </w:r>
    </w:p>
    <w:p>
      <w:pPr>
        <w:spacing w:after="110"/>
      </w:pPr>
      <w:r>
        <w:rPr>
          <w:sz w:val="21"/>
          <w:szCs w:val="21"/>
        </w:rPr>
        <w:t xml:space="preserve">A state where counties are weak or vestigial — Connecticut and Rhode Island have no functioning county government at all, and Massachusetts abolished most of its counties. Establish what happened to the functions and who publishes now. An abolished tier is a genuinely interesting node problem: the reports either stopped or moved.</w:t>
      </w:r>
    </w:p>
    <w:p>
      <w:pPr>
        <w:spacing w:after="110"/>
      </w:pPr>
      <w:r>
        <w:rPr>
          <w:sz w:val="21"/>
          <w:szCs w:val="21"/>
        </w:rPr>
        <w:t xml:space="preserve">Louisiana parishes and Alaska boroughs, if either has a documented fiscal structure that differs from a county in more than name. Alaska in particular has unorganised boroughs covering most of its area with no borough government, which raises the question of who levies and who reports there.</w:t>
      </w:r>
    </w:p>
    <w:p>
      <w:pPr>
        <w:spacing w:after="110"/>
      </w:pPr>
      <w:r>
        <w:rPr>
          <w:sz w:val="21"/>
          <w:szCs w:val="21"/>
        </w:rPr>
        <w:t xml:space="preserve">And the federal view of the county tier: the Census Bureau's Census of Governments counts and classifies every county, municipality, township, special district and school district in the country. We hold that node. What we do not hold is anything that uses it. Is there a published federal product that reads the government counts?</w:t>
      </w:r>
    </w:p>
    <w:p>
      <w:pPr>
        <w:pStyle w:val="Heading1"/>
        <w:spacing w:after="140" w:before="320"/>
      </w:pPr>
      <w:r>
        <w:t xml:space="preserve">What round one left open, in priority order</w:t>
      </w:r>
    </w:p>
    <w:p>
      <w:pPr>
        <w:spacing w:after="110"/>
      </w:pPr>
      <w:r>
        <w:rPr>
          <w:b/>
          <w:bCs/>
          <w:sz w:val="21"/>
          <w:szCs w:val="21"/>
        </w:rPr>
        <w:t xml:space="preserve">1. Houston Independent School District. </w:t>
      </w:r>
      <w:r>
        <w:rPr>
          <w:sz w:val="21"/>
          <w:szCs w:val="21"/>
        </w:rPr>
        <w:t xml:space="preserve">Proposed as a node and not minted: no verified URL and no documented statement of its funding inputs. The district is under state intervention, which may make its funding documentation unusually explicit. Note that Los Angeles Unified defeated retrieval the same way — school district budget sites are consistently the least publishable documents in this corpus, and if you can find the reliable channel for them generally, that is worth more than either district.</w:t>
      </w:r>
    </w:p>
    <w:p>
      <w:pPr>
        <w:spacing w:after="110"/>
      </w:pPr>
      <w:r>
        <w:rPr>
          <w:b/>
          <w:bCs/>
          <w:sz w:val="21"/>
          <w:szCs w:val="21"/>
        </w:rPr>
        <w:t xml:space="preserve">2. METRO's financial statements. </w:t>
      </w:r>
      <w:r>
        <w:rPr>
          <w:sz w:val="21"/>
          <w:szCs w:val="21"/>
        </w:rPr>
        <w:t xml:space="preserve">The transit authority publishes nothing retrievable — its finance page links into a JavaScript-gated asset manager. The likely channel is continuing-disclosure filings on EMMA. Can you reach an actual METRO annual financial report and cite it?</w:t>
      </w:r>
    </w:p>
    <w:p>
      <w:pPr>
        <w:spacing w:after="110"/>
      </w:pPr>
      <w:r>
        <w:rPr>
          <w:b/>
          <w:bCs/>
          <w:sz w:val="21"/>
          <w:szCs w:val="21"/>
        </w:rPr>
        <w:t xml:space="preserve">3. The Houston charter text itself. </w:t>
      </w:r>
      <w:r>
        <w:rPr>
          <w:sz w:val="21"/>
          <w:szCs w:val="21"/>
        </w:rPr>
        <w:t xml:space="preserve">The operative revenue cap language could not be retrieved from any static source: Municode's viewer is JavaScript-only, its API endpoints 404, and no city-published PDF exists at any tested path. Every available source paraphrases. Consequently the corpus currently records the CPI and Census series as the Finance Department's implementation rather than as charter definitions, and the charter section number is unknown. If you can produce the charter text, that upgrades two edges.</w:t>
      </w:r>
    </w:p>
    <w:p>
      <w:pPr>
        <w:spacing w:after="110"/>
      </w:pPr>
      <w:r>
        <w:rPr>
          <w:b/>
          <w:bCs/>
          <w:sz w:val="21"/>
          <w:szCs w:val="21"/>
        </w:rPr>
        <w:t xml:space="preserve">4. Emergency services district and municipal utility district financials. </w:t>
      </w:r>
      <w:r>
        <w:rPr>
          <w:sz w:val="21"/>
          <w:szCs w:val="21"/>
        </w:rPr>
        <w:t xml:space="preserve">Both are real taxing units, both have excellent rate documentation on the Assessor-Collector's site, and neither publishes audited financials anywhere addressable — ESD audits surface as council agenda attachments with opaque identifiers, MUD audits systematically only through EMMA. Is there a state-level aggregator? The Texas Commission on Environmental Quality collects water district filings; does anything similar exist for emergency services districts?</w:t>
      </w:r>
    </w:p>
    <w:p>
      <w:pPr>
        <w:spacing w:after="110"/>
      </w:pPr>
      <w:r>
        <w:rPr>
          <w:b/>
          <w:bCs/>
          <w:sz w:val="21"/>
          <w:szCs w:val="21"/>
        </w:rPr>
        <w:t xml:space="preserve">5. The Harris County Auditor as a node. </w:t>
      </w:r>
      <w:r>
        <w:rPr>
          <w:sz w:val="21"/>
          <w:szCs w:val="21"/>
        </w:rPr>
        <w:t xml:space="preserve">The office prepares the county, flood control and toll road reports — the toll road statements are signed by the Auditor personally — but no retrievable document states its statutory duties or its mandate to prepare them. Local Government Code chapters 84 and 114 are the likely home.</w:t>
      </w:r>
    </w:p>
    <w:p>
      <w:pPr>
        <w:spacing w:after="110"/>
      </w:pPr>
      <w:r>
        <w:rPr>
          <w:b/>
          <w:bCs/>
          <w:sz w:val="21"/>
          <w:szCs w:val="21"/>
        </w:rPr>
        <w:t xml:space="preserve">6. A statutory citation that Texas counties cannot zone. </w:t>
      </w:r>
      <w:r>
        <w:rPr>
          <w:sz w:val="21"/>
          <w:szCs w:val="21"/>
        </w:rPr>
        <w:t xml:space="preserve">The claim is almost certainly right and is the structural reason the whole district layer exists. The section usually cited has been renumbered and now addresses abandoned lots. What we hold is a county association handout and a university research article. A current statutory citation would be better.</w:t>
      </w:r>
    </w:p>
    <w:p>
      <w:pPr>
        <w:spacing w:after="110"/>
      </w:pPr>
      <w:r>
        <w:rPr>
          <w:b/>
          <w:bCs/>
          <w:sz w:val="21"/>
          <w:szCs w:val="21"/>
        </w:rPr>
        <w:t xml:space="preserve">7. The BEA deflator behind California's school funding adjustment. </w:t>
      </w:r>
      <w:r>
        <w:rPr>
          <w:sz w:val="21"/>
          <w:szCs w:val="21"/>
        </w:rPr>
        <w:t xml:space="preserve">Carried over from the first brief and still open. Education Code §42238.02 defines the Local Control Funding Formula cost-of-living adjustment by reference to the Implicit Price Deflator for State and Local Government Purchases of Goods and Services for the United States, over the 12 months ending in the third quarter of the prior fiscal year, read as of May 10. We declined to invent a URL for the specific published BEA table. Pin the table down and the edge exists.</w:t>
      </w:r>
    </w:p>
    <w:p>
      <w:pPr>
        <w:pStyle w:val="Heading1"/>
        <w:spacing w:after="140" w:before="320"/>
      </w:pPr>
      <w:r>
        <w:t xml:space="preserve">The format, unchanged</w:t>
      </w:r>
    </w:p>
    <w:p>
      <w:pPr>
        <w:spacing w:after="110"/>
      </w:pPr>
      <w:r>
        <w:rPr>
          <w:sz w:val="21"/>
          <w:szCs w:val="21"/>
        </w:rPr>
        <w:t xml:space="preserve">For each report: id, title, publisher, jurisdiction_level (federal, provincial, municipal, institutional — a US state body is provincial, a county, city, township, school district, appraisal district or special district is municipal), region, description, releases_per_year (fractional below annual; omit entirely for a one-off instrument with no next edition), url (the programme landing page, not one edition), and domains drawn only from: inflation, labour, monetary-policy, national-accounts, benefits, interest-rates, municipal-finance, education, post-secondary, health, fiscal-transfers, population, taxation, assessment, energy-royalties, banking, financial-regulation, construction, insurance, research-innovation, agriculture, external-action.</w:t>
      </w:r>
    </w:p>
    <w:p>
      <w:pPr>
        <w:spacing w:after="110"/>
      </w:pPr>
      <w:r>
        <w:rPr>
          <w:sz w:val="21"/>
          <w:szCs w:val="21"/>
        </w:rPr>
        <w:t xml:space="preserve">For each dependency:</w:t>
      </w:r>
    </w:p>
    <w:p>
      <w:pPr>
        <w:spacing w:after="50"/>
      </w:pPr>
      <w:r>
        <w:rPr>
          <w:rFonts w:ascii="Consolas" w:cs="Consolas" w:eastAsia="Consolas" w:hAnsi="Consolas"/>
          <w:sz w:val="18"/>
          <w:szCs w:val="18"/>
        </w:rPr>
        <w:t xml:space="preserve">source_report_id   — the report doing the referencing</w:t>
      </w:r>
    </w:p>
    <w:p>
      <w:pPr>
        <w:spacing w:after="50"/>
      </w:pPr>
      <w:r>
        <w:rPr>
          <w:rFonts w:ascii="Consolas" w:cs="Consolas" w:eastAsia="Consolas" w:hAnsi="Consolas"/>
          <w:sz w:val="18"/>
          <w:szCs w:val="18"/>
        </w:rPr>
        <w:t xml:space="preserve">target_report_id   — the report being depended upon</w:t>
      </w:r>
    </w:p>
    <w:p>
      <w:pPr>
        <w:spacing w:after="50"/>
      </w:pPr>
      <w:r>
        <w:rPr>
          <w:rFonts w:ascii="Consolas" w:cs="Consolas" w:eastAsia="Consolas" w:hAnsi="Consolas"/>
          <w:sz w:val="18"/>
          <w:szCs w:val="18"/>
        </w:rPr>
        <w:t xml:space="preserve">relationship_type  — calculated_from | uses_data_from |</w:t>
      </w:r>
    </w:p>
    <w:p>
      <w:pPr>
        <w:spacing w:after="50"/>
      </w:pPr>
      <w:r>
        <w:rPr>
          <w:rFonts w:ascii="Consolas" w:cs="Consolas" w:eastAsia="Consolas" w:hAnsi="Consolas"/>
          <w:sz w:val="18"/>
          <w:szCs w:val="18"/>
        </w:rPr>
        <w:t xml:space="preserve">                     methodology_depends_on | cites</w:t>
      </w:r>
    </w:p>
    <w:p>
      <w:pPr>
        <w:spacing w:after="50"/>
      </w:pPr>
      <w:r>
        <w:rPr>
          <w:rFonts w:ascii="Consolas" w:cs="Consolas" w:eastAsia="Consolas" w:hAnsi="Consolas"/>
          <w:sz w:val="18"/>
          <w:szCs w:val="18"/>
        </w:rPr>
        <w:t xml:space="preserve">basis              — 2-4 sentences quoting the document</w:t>
      </w:r>
    </w:p>
    <w:p>
      <w:pPr>
        <w:spacing w:after="50"/>
      </w:pPr>
      <w:r>
        <w:rPr>
          <w:rFonts w:ascii="Consolas" w:cs="Consolas" w:eastAsia="Consolas" w:hAnsi="Consolas"/>
          <w:sz w:val="18"/>
          <w:szCs w:val="18"/>
        </w:rPr>
        <w:t xml:space="preserve">evidence_url       — a URL that resolves to that document</w:t>
      </w:r>
    </w:p>
    <w:p>
      <w:pPr>
        <w:spacing w:after="50"/>
      </w:pPr>
      <w:r>
        <w:rPr>
          <w:rFonts w:ascii="Consolas" w:cs="Consolas" w:eastAsia="Consolas" w:hAnsi="Consolas"/>
          <w:sz w:val="18"/>
          <w:szCs w:val="18"/>
        </w:rPr>
        <w:t xml:space="preserve">reference_period   — the reading window, where stated</w:t>
      </w:r>
    </w:p>
    <w:p>
      <w:pPr>
        <w:spacing w:after="110"/>
      </w:pPr>
      <w:r>
        <w:rPr>
          <w:sz w:val="21"/>
          <w:szCs w:val="21"/>
        </w:rPr>
        <w:t xml:space="preserve">Negative findings are wanted explicitly. A formula that turns out to read no published series, a transfer frozen against a historical base, a body that publishes nothing retrievable — each of those is a result and each gets kept. Round one produced three of them and the county pass produced three more, and they are among the most-read entries in the corpus, because they record what somebody already checked so nobody checks it twice.</w:t>
      </w:r>
    </w:p>
    <w:p>
      <w:pPr>
        <w:spacing w:after="110"/>
      </w:pPr>
      <w:r>
        <w:rPr>
          <w:sz w:val="21"/>
          <w:szCs w:val="21"/>
        </w:rPr>
        <w:t xml:space="preserve">Aim for 25 to 35 well-evidenced reports. A wrong citation is worse than a missing one, because a wrong one gets believed.</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2026-08-10T16:03:23.281Z</dcterms:created>
  <dcterms:modified xsi:type="dcterms:W3CDTF">2026-08-10T16:03:23.281Z</dcterms:modified>
</cp:coreProperties>
</file>

<file path=docProps/custom.xml><?xml version="1.0" encoding="utf-8"?>
<Properties xmlns="http://schemas.openxmlformats.org/officeDocument/2006/custom-properties" xmlns:vt="http://schemas.openxmlformats.org/officeDocument/2006/docPropsVTypes"/>
</file>