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D65E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G.03.md — Status note</w:t>
      </w:r>
    </w:p>
    <w:p w14:paraId="51C4C584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Session date:</w:t>
      </w: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2026-08-02 </w:t>
      </w:r>
      <w:r w:rsidRPr="005B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Supersedes:</w:t>
      </w: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G.02.md</w:t>
      </w:r>
    </w:p>
    <w:p w14:paraId="04DA2BFA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has been done</w:t>
      </w: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Extracted from the apex institutional frame:</w:t>
      </w:r>
    </w:p>
    <w:p w14:paraId="40D5D330" w14:textId="77777777" w:rsidR="005B2989" w:rsidRPr="005B2989" w:rsidRDefault="005B2989" w:rsidP="005B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Consolidated Regulation (EC) No 223/2009 (as amended to 26.12.2024) — Articles 1, 2, 5, 11, 12, 13 and 17 (and related paragraphs) that name the European statistical programme, the Code of Practice, Commitments on Confidence in Statistics, annual/progress reports, quality reports on transmitted data, and the Commission’s intermediate/final evaluation reports and annual work programme.</w:t>
      </w:r>
    </w:p>
    <w:p w14:paraId="6613A935" w14:textId="77777777" w:rsidR="005B2989" w:rsidRPr="005B2989" w:rsidRDefault="005B2989" w:rsidP="005B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European Statistics Code of Practice (revised edition 2017, KS-02-18-142) — preamble (naming the Quality Assurance Framework of the ESS) plus selected Indicators under Principles 1, 1bis, 4, 6, 8 and 15 that name statistical work programmes, periodic reports, national guidelines, quality policy, and related quality-reporting practices.</w:t>
      </w:r>
    </w:p>
    <w:p w14:paraId="1B4F4F1E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All material remains Part A extraction records only. No Part B draft was produced that invents nodes or edges. Stop condition respected (no second NSI, no municipal layer, no full ECB galaxy).</w:t>
      </w:r>
    </w:p>
    <w:p w14:paraId="4C9AE4D9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Current state of the EU galaxy</w:t>
      </w: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Supra-national spine now extends upward from the SRC / ESA 2010 / HERP / consistency layer to the foundational Regulation 223/2009 and the Code of Practice (including the named Quality Assurance Framework of the ESS and the recurrent quality-reporting and statistical-programme obligations).</w:t>
      </w:r>
    </w:p>
    <w:p w14:paraId="6D4A4673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Remaining priority queue (Research.EU.md stop condition still in force)</w:t>
      </w:r>
    </w:p>
    <w:p w14:paraId="557DA003" w14:textId="77777777" w:rsidR="005B2989" w:rsidRPr="005B2989" w:rsidRDefault="005B2989" w:rsidP="005B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Handbook on Price and volume measures in national accounts (or any other methodological manual that the SRC itself cites as organising framework for a major domain already touched).</w:t>
      </w:r>
    </w:p>
    <w:p w14:paraId="4F708534" w14:textId="77777777" w:rsidR="005B2989" w:rsidRPr="005B2989" w:rsidRDefault="005B2989" w:rsidP="005B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Only after the above (and only with explicit clearance): one additional high-authority NSI quality/methods report (INSEE or ISTAT).</w:t>
      </w:r>
    </w:p>
    <w:p w14:paraId="2AB30E3C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Recommended next increment</w:t>
      </w:r>
      <w:r w:rsidRPr="005B298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Open the Handbook on Price and volume measures in national accounts (or the nearest SRC-cited methodological manual for national accounts price-volume work) and extract only those passages that name recurrent documents, transmission duties or quality obligations.</w:t>
      </w:r>
    </w:p>
    <w:p w14:paraId="3235CE51" w14:textId="77777777" w:rsidR="005B2989" w:rsidRPr="005B2989" w:rsidRDefault="005B2989" w:rsidP="005B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B29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End of G.03.md</w:t>
      </w:r>
    </w:p>
    <w:p w14:paraId="008C56F7" w14:textId="5E4D5313" w:rsidR="009060FD" w:rsidRPr="005B2989" w:rsidRDefault="009060FD" w:rsidP="005B2989"/>
    <w:sectPr w:rsidR="009060FD" w:rsidRPr="005B29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64E36"/>
    <w:multiLevelType w:val="multilevel"/>
    <w:tmpl w:val="6B5C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FC0D54"/>
    <w:multiLevelType w:val="multilevel"/>
    <w:tmpl w:val="20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545287">
    <w:abstractNumId w:val="1"/>
  </w:num>
  <w:num w:numId="2" w16cid:durableId="93948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5E"/>
    <w:rsid w:val="003E3085"/>
    <w:rsid w:val="00406FF7"/>
    <w:rsid w:val="005B2989"/>
    <w:rsid w:val="006A0C02"/>
    <w:rsid w:val="009060FD"/>
    <w:rsid w:val="00940066"/>
    <w:rsid w:val="00942E5E"/>
    <w:rsid w:val="00BA403E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75E1"/>
  <w15:chartTrackingRefBased/>
  <w15:docId w15:val="{ABE83C99-3FD6-4837-B64B-055EAAE1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306</Words>
  <Characters>1760</Characters>
  <Application>Microsoft Office Word</Application>
  <DocSecurity>0</DocSecurity>
  <Lines>42</Lines>
  <Paragraphs>23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2</cp:revision>
  <dcterms:created xsi:type="dcterms:W3CDTF">2026-08-02T18:20:00Z</dcterms:created>
  <dcterms:modified xsi:type="dcterms:W3CDTF">2026-08-02T18:20:00Z</dcterms:modified>
</cp:coreProperties>
</file>