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FA4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# G.09.md – EU galaxy hand-off</w:t>
      </w:r>
    </w:p>
    <w:p w14:paraId="6CD56A0C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**Date**: 2026-08-03</w:t>
      </w:r>
    </w:p>
    <w:p w14:paraId="52523589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**Governing briefs**: Research.EU.md v0.1 + Research.2.md v2.1 (fixed)</w:t>
      </w:r>
    </w:p>
    <w:p w14:paraId="36DCA741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**Stop conditions (unchanged and </w:t>
      </w:r>
      <w:proofErr w:type="gramStart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mandatory)*</w:t>
      </w:r>
      <w:proofErr w:type="gramEnd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*:</w:t>
      </w:r>
    </w:p>
    <w:p w14:paraId="4A094453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No second Member-State NSI methodology (</w:t>
      </w:r>
      <w:proofErr w:type="spellStart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Destatis</w:t>
      </w:r>
      <w:proofErr w:type="spellEnd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 remains the sole NSI opened).</w:t>
      </w:r>
    </w:p>
    <w:p w14:paraId="608F0A94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No municipal / local layer.</w:t>
      </w:r>
    </w:p>
    <w:p w14:paraId="6A95B537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- ECB / </w:t>
      </w:r>
      <w:proofErr w:type="spellStart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Eurosystem</w:t>
      </w:r>
      <w:proofErr w:type="spellEnd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 monetary-policy, collateral, haircut, variation-margin, open-market-instrument material may continue to be deepened.</w:t>
      </w:r>
    </w:p>
    <w:p w14:paraId="0C55FCF0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Expansion to ISTAT, INSEE, Statistics Denmark, Banque de France statistical side, or any other national statistical institute is forbidden until an explicit new governing brief lifts the stop.</w:t>
      </w:r>
    </w:p>
    <w:p w14:paraId="59D543A0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</w:p>
    <w:p w14:paraId="6590330E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**Completed this session window**:</w:t>
      </w:r>
    </w:p>
    <w:p w14:paraId="6803896F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Full Part A extraction on ECB Guideline (EU) 2024/3129 (collateral management / ECMS)</w:t>
      </w:r>
    </w:p>
    <w:p w14:paraId="6ABC4FFF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Guideline (EU) 2016/65 + 2026 amending act (haircut framework)</w:t>
      </w:r>
    </w:p>
    <w:p w14:paraId="5555E052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Variation-margin / margin-call rules (Art. 128 &amp; 136 of 2015/510 + Art. 11 of 2024/3129)</w:t>
      </w:r>
    </w:p>
    <w:p w14:paraId="5A8B9F33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Open-market-operations overview (Art. 5–9 of 2015/510)</w:t>
      </w:r>
    </w:p>
    <w:p w14:paraId="39675992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ECB debt certificates (Art. 13)</w:t>
      </w:r>
    </w:p>
    <w:p w14:paraId="4CE3FB0C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Collection of fixed-term deposits (Art. 12)</w:t>
      </w:r>
    </w:p>
    <w:p w14:paraId="6122E05C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- Confirmation that NCBs implement the common </w:t>
      </w:r>
      <w:proofErr w:type="spellStart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Eurosystem</w:t>
      </w:r>
      <w:proofErr w:type="spellEnd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 haircut schedule (no independent national schedules documented)</w:t>
      </w:r>
    </w:p>
    <w:p w14:paraId="120623EF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</w:p>
    <w:p w14:paraId="109D3AA1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**Rolling edge-case list** (carry forward):</w:t>
      </w:r>
    </w:p>
    <w:p w14:paraId="7ADEEBCE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“comparable with” / non-dependency language</w:t>
      </w:r>
    </w:p>
    <w:p w14:paraId="55093C50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Cash vs accrual</w:t>
      </w:r>
    </w:p>
    <w:p w14:paraId="5E5BBA47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Climate-factor adjustments (referenced but not yet fully extracted)</w:t>
      </w:r>
    </w:p>
    <w:p w14:paraId="0006213F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- Any national documentation that merely transposes </w:t>
      </w:r>
      <w:proofErr w:type="spellStart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Eurosystem</w:t>
      </w:r>
      <w:proofErr w:type="spellEnd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 tables</w:t>
      </w:r>
    </w:p>
    <w:p w14:paraId="06360D23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</w:p>
    <w:p w14:paraId="62A2A160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 xml:space="preserve">**Priority queue for next agent (still inside </w:t>
      </w:r>
      <w:proofErr w:type="gramStart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stops)*</w:t>
      </w:r>
      <w:proofErr w:type="gramEnd"/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*:</w:t>
      </w:r>
    </w:p>
    <w:p w14:paraId="1415C713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1. Standing facilities (marginal lending facility + deposit facility) – full articles from Guideline 2015/510.</w:t>
      </w:r>
    </w:p>
    <w:p w14:paraId="2282D415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2. Minimum-reserve requirements (Regulation ECB/2021/1 or successor + related articles).</w:t>
      </w:r>
    </w:p>
    <w:p w14:paraId="100EFB9B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3. TARGET / settlement procedures that interact with collateral and margin calls.</w:t>
      </w:r>
    </w:p>
    <w:p w14:paraId="29D711D9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4. Any remaining climate-related risk-control factors already referenced in the consolidated 2015/510 text.</w:t>
      </w:r>
    </w:p>
    <w:p w14:paraId="3AD46F93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5. Stop and report before any second NSI or municipal material.</w:t>
      </w:r>
    </w:p>
    <w:p w14:paraId="02C927A8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</w:p>
    <w:p w14:paraId="7A0315EB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**Provisional soft-connection notes** (Part B – non-authoritative):</w:t>
      </w:r>
    </w:p>
    <w:p w14:paraId="636CD9EC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- Carry forward the existing Soft Connections list; add only edges that are directly grounded in the new Part A records produced in this window.</w:t>
      </w:r>
    </w:p>
    <w:p w14:paraId="61F125BF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</w:p>
    <w:p w14:paraId="7B42099E" w14:textId="77777777" w:rsidR="002074BF" w:rsidRPr="002074BF" w:rsidRDefault="002074BF" w:rsidP="00207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</w:pPr>
      <w:r w:rsidRPr="002074B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CA"/>
          <w14:ligatures w14:val="none"/>
        </w:rPr>
        <w:t>**Presentation rule**: Part A JSON only, verbatim quotes, precise locations, tense flags, names arrays. No adjudication.</w:t>
      </w:r>
    </w:p>
    <w:p w14:paraId="1B8984C1" w14:textId="77777777" w:rsidR="009060FD" w:rsidRDefault="009060FD"/>
    <w:sectPr w:rsidR="00906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BF"/>
    <w:rsid w:val="002074BF"/>
    <w:rsid w:val="00406FF7"/>
    <w:rsid w:val="0045633B"/>
    <w:rsid w:val="006A0C02"/>
    <w:rsid w:val="009060FD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DB4D"/>
  <w15:chartTrackingRefBased/>
  <w15:docId w15:val="{0E6B41BB-1AD0-46BA-9C95-8A266230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1981</Characters>
  <Application>Microsoft Office Word</Application>
  <DocSecurity>0</DocSecurity>
  <Lines>45</Lines>
  <Paragraphs>34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1</cp:revision>
  <dcterms:created xsi:type="dcterms:W3CDTF">2026-08-03T22:21:00Z</dcterms:created>
  <dcterms:modified xsi:type="dcterms:W3CDTF">2026-08-03T22:21:00Z</dcterms:modified>
</cp:coreProperties>
</file>