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g.13.md-eu-galaxy-hand-off"/>
    <w:p>
      <w:pPr>
        <w:pStyle w:val="Heading1"/>
      </w:pPr>
      <w:r>
        <w:t xml:space="preserve">G.13.md – EU galaxy hand-off</w:t>
      </w:r>
    </w:p>
    <w:p>
      <w:pPr>
        <w:pStyle w:val="FirstParagraph"/>
      </w:pPr>
      <w:r>
        <w:rPr>
          <w:bCs/>
          <w:b/>
        </w:rPr>
        <w:t xml:space="preserve">Date</w:t>
      </w:r>
      <w:r>
        <w:t xml:space="preserve">: 2026-08-03</w:t>
      </w:r>
      <w:r>
        <w:t xml:space="preserve"> </w:t>
      </w:r>
      <w:r>
        <w:rPr>
          <w:bCs/>
          <w:b/>
        </w:rPr>
        <w:t xml:space="preserve">Governing briefs</w:t>
      </w:r>
      <w:r>
        <w:t xml:space="preserve">: Research.EU.md v0.1 (fixed) + Research.2.md v2.1 (fixed) + Research.3.md (amendment)</w:t>
      </w:r>
    </w:p>
    <w:p>
      <w:pPr>
        <w:pStyle w:val="BlockText"/>
      </w:pPr>
      <w:r>
        <w:t xml:space="preserve">THOMAS DECISION (2026-08-03): EU institutional administrative budget documents (SEC00–03, 2027 draft budget by Section) authorized as new Part A material for the EU galaxy project, under the financial-model goal established in Research.3 §2. No preference given on how to treat the ECB/Eurostat-vs-general-budget scope question — treated as in-scope by extension of the financial-model goal, since budget/appropriations data is exactly the quantitative input that goal requires.</w:t>
      </w:r>
    </w:p>
    <w:p>
      <w:pPr>
        <w:pStyle w:val="FirstParagraph"/>
      </w:pPr>
      <w:r>
        <w:rPr>
          <w:bCs/>
          <w:b/>
        </w:rPr>
        <w:t xml:space="preserve">Completed this session:</w:t>
      </w:r>
      <w:r>
        <w:t xml:space="preserve"> </w:t>
      </w:r>
      <w:r>
        <w:t xml:space="preserve">- Part A extraction of SEC00 (cross-institution</w:t>
      </w:r>
      <w:r>
        <w:t xml:space="preserve"> </w:t>
      </w:r>
      <w:r>
        <w:t xml:space="preserve">“</w:t>
      </w:r>
      <w:r>
        <w:t xml:space="preserve">Statement of Estimates: Policy Highlights</w:t>
      </w:r>
      <w:r>
        <w:t xml:space="preserve">”</w:t>
      </w:r>
      <w:r>
        <w:t xml:space="preserve">), SEC01 (Parliament), SEC02 (Council) — headline and title-level figures — and SEC03 (Commission) — Title 1</w:t>
      </w:r>
      <w:r>
        <w:t xml:space="preserve"> </w:t>
      </w:r>
      <w:r>
        <w:t xml:space="preserve">“</w:t>
      </w:r>
      <w:r>
        <w:t xml:space="preserve">Own Resources</w:t>
      </w:r>
      <w:r>
        <w:t xml:space="preserve">”</w:t>
      </w:r>
      <w:r>
        <w:t xml:space="preserve"> </w:t>
      </w:r>
      <w:r>
        <w:t xml:space="preserve">in full, including the exact rate parameters (VAT 0.30% capped at 50% of GNI, GNI 0.7495% as balancing residual, plastic packaging €0.80/kg). See</w:t>
      </w:r>
      <w:r>
        <w:t xml:space="preserve"> </w:t>
      </w:r>
      <w:r>
        <w:rPr>
          <w:rStyle w:val="VerbatimChar"/>
        </w:rPr>
        <w:t xml:space="preserve">PartA_budget_SEC00-03_2026-08-03.md</w:t>
      </w:r>
      <w:r>
        <w:t xml:space="preserve">.</w:t>
      </w:r>
      <w:r>
        <w:t xml:space="preserve"> </w:t>
      </w:r>
      <w:r>
        <w:t xml:space="preserve">- Flagged, not extracted: SEC03 pages ~16–1,114 (Commission expenditure by Title/Chapter/Article — where the bulk of the actual ~€200bn spend lives). This is the largest remaining single extraction task in the project, larger than everything else combined.</w:t>
      </w:r>
      <w:r>
        <w:t xml:space="preserve"> </w:t>
      </w:r>
      <w:r>
        <w:t xml:space="preserve">- Flagged: an unresolved ~€2.3m discrepancy between SEC02’s narrative summary figure (EUR 755.0m) and its own itemised expenditure total (EUR 752,774,665) — noted in Part A per the no-adjudication rule, not resolved.</w:t>
      </w:r>
    </w:p>
    <w:p>
      <w:pPr>
        <w:pStyle w:val="BodyText"/>
      </w:pPr>
      <w:r>
        <w:rPr>
          <w:bCs/>
          <w:b/>
        </w:rPr>
        <w:t xml:space="preserve">Final status on everything that was open before the finance pivot</w:t>
      </w:r>
      <w:r>
        <w:t xml:space="preserve"> </w:t>
      </w:r>
      <w:r>
        <w:t xml:space="preserve">(per the priority queue from G.11/G.12):</w:t>
      </w:r>
      <w:r>
        <w:t xml:space="preserve"> </w:t>
      </w:r>
      <w:r>
        <w:t xml:space="preserve">1. Guideline (EU) 2022/912 (TARGET Guideline) — still not extracted. EUR-Lex fetch problem, not content problem.</w:t>
      </w:r>
      <w:r>
        <w:t xml:space="preserve"> </w:t>
      </w:r>
      <w:r>
        <w:rPr>
          <w:bCs/>
          <w:b/>
        </w:rPr>
        <w:t xml:space="preserve">Still open.</w:t>
      </w:r>
      <w:r>
        <w:t xml:space="preserve"> </w:t>
      </w:r>
      <w:r>
        <w:t xml:space="preserve">2. Climate-factor calibration formula (uncertainty score → factor) — still not extracted; lives in ECB explanatory material, not Guideline text.</w:t>
      </w:r>
      <w:r>
        <w:t xml:space="preserve"> </w:t>
      </w:r>
      <w:r>
        <w:rPr>
          <w:bCs/>
          <w:b/>
        </w:rPr>
        <w:t xml:space="preserve">Still open.</w:t>
      </w:r>
      <w:r>
        <w:t xml:space="preserve"> </w:t>
      </w:r>
      <w:r>
        <w:t xml:space="preserve">3. Annex I of 2015/510 — still untretrieved; low priority, Art. 3(2) already says it’s informational-only.</w:t>
      </w:r>
      <w:r>
        <w:t xml:space="preserve"> </w:t>
      </w:r>
      <w:r>
        <w:rPr>
          <w:bCs/>
          <w:b/>
        </w:rPr>
        <w:t xml:space="preserve">Still open, low priority.</w:t>
      </w:r>
      <w:r>
        <w:t xml:space="preserve"> </w:t>
      </w:r>
      <w:r>
        <w:t xml:space="preserve">4.</w:t>
      </w:r>
      <w:r>
        <w:t xml:space="preserve"> </w:t>
      </w:r>
      <w:r>
        <w:t xml:space="preserve">“</w:t>
      </w:r>
      <w:r>
        <w:t xml:space="preserve">Documentation relating to the TARGET framework</w:t>
      </w:r>
      <w:r>
        <w:t xml:space="preserve">”</w:t>
      </w:r>
      <w:r>
        <w:t xml:space="preserve"> </w:t>
      </w:r>
      <w:r>
        <w:t xml:space="preserve">— still an unnamed terminus.</w:t>
      </w:r>
      <w:r>
        <w:t xml:space="preserve"> </w:t>
      </w:r>
      <w:r>
        <w:rPr>
          <w:bCs/>
          <w:b/>
        </w:rPr>
        <w:t xml:space="preserve">Still open, low priority.</w:t>
      </w:r>
      <w:r>
        <w:t xml:space="preserve"> </w:t>
      </w:r>
      <w:r>
        <w:t xml:space="preserve">5. SEC00–03 budget extraction —</w:t>
      </w:r>
      <w:r>
        <w:t xml:space="preserve"> </w:t>
      </w:r>
      <w:r>
        <w:rPr>
          <w:bCs/>
          <w:b/>
        </w:rPr>
        <w:t xml:space="preserve">done at headline level this session; SEC03 detailed expenditure remains the large open item.</w:t>
      </w:r>
    </w:p>
    <w:p>
      <w:pPr>
        <w:pStyle w:val="BodyText"/>
      </w:pPr>
      <w:r>
        <w:t xml:space="preserve">None of items 1–4 block the finance work — they’re independent ECB/Eurosystem extraction threads. Item 5’s remaining piece (SEC03 expenditure detail) is a genuinely large task (~1,100 pages) that should probably be its own dedicated session rather than something to finish</w:t>
      </w:r>
      <w:r>
        <w:t xml:space="preserve"> </w:t>
      </w:r>
      <w:r>
        <w:t xml:space="preserve">“</w:t>
      </w:r>
      <w:r>
        <w:t xml:space="preserve">before</w:t>
      </w:r>
      <w:r>
        <w:t xml:space="preserve">”</w:t>
      </w:r>
      <w:r>
        <w:t xml:space="preserve"> </w:t>
      </w:r>
      <w:r>
        <w:t xml:space="preserve">finance starts, given its size relative to everything else in the queue.</w:t>
      </w:r>
    </w:p>
    <w:p>
      <w:pPr>
        <w:pStyle w:val="BodyText"/>
      </w:pPr>
      <w:r>
        <w:rPr>
          <w:bCs/>
          <w:b/>
        </w:rPr>
        <w:t xml:space="preserve">Presentation rule</w:t>
      </w:r>
      <w:r>
        <w:t xml:space="preserve">: unchanged — field-format Part A entries (URL or FILE / LOCATION / QUOTE / NAMES / TENSE / NOTES), full parameter values where present, no adjudication.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2026-08-04T01:44:21Z</dcterms:created>
  <dcterms:modified xsi:type="dcterms:W3CDTF">2026-08-04T01:44:21Z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