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sz w:val="40"/>
          <w:szCs w:val="40"/>
        </w:rPr>
        <w:t xml:space="preserve">Questions for Thomas</w:t>
      </w:r>
    </w:p>
    <w:p>
      <w:pPr>
        <w:spacing w:after="40"/>
      </w:pPr>
      <w:r>
        <w:rPr>
          <w:color w:val="666666"/>
          <w:sz w:val="24"/>
          <w:szCs w:val="24"/>
        </w:rPr>
        <w:t xml:space="preserve">Economic Report Influence Graph — expansion decisions</w:t>
      </w:r>
    </w:p>
    <w:p>
      <w:pPr>
        <w:spacing w:after="260"/>
      </w:pPr>
      <w:r>
        <w:rPr>
          <w:color w:val="888888"/>
          <w:sz w:val="19"/>
          <w:szCs w:val="19"/>
        </w:rPr>
        <w:t xml:space="preserve">2026-07-30 · after V0.11 · graph now at 127 reports / 201 documented dependencies</w:t>
      </w:r>
    </w:p>
    <w:p>
      <w:pPr>
        <w:spacing w:after="110"/>
      </w:pPr>
      <w:r>
        <w:rPr>
          <w:sz w:val="21"/>
          <w:szCs w:val="21"/>
        </w:rPr>
        <w:t xml:space="preserve">Edit this document directly — write under each "Your answer". Where I have a recommendation I have said so, and where I think you are right and I was wrong I have said that too. Three of the questions below exist because building your Grok results this session contradicted something I wrote in EXPANSION-V1 yesterday.</w:t>
      </w:r>
    </w:p>
    <w:p>
      <w:pPr>
        <w:pStyle w:val="Heading1"/>
        <w:spacing w:after="140" w:before="360"/>
      </w:pPr>
      <w:r>
        <w:t xml:space="preserve">First: what changed this session</w:t>
      </w:r>
    </w:p>
    <w:p>
      <w:pPr>
        <w:spacing w:after="110"/>
      </w:pPr>
      <w:r>
        <w:rPr>
          <w:sz w:val="21"/>
          <w:szCs w:val="21"/>
        </w:rPr>
        <w:t xml:space="preserve">I adjudicated the Grok returns and built them. Numbers, measured: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80"/>
        <w:gridCol w:w="3080"/>
      </w:tblGrid>
      <w:tr>
        <w:tc>
          <w:tcPr>
            <w:tcW w:type="dxa" w:w="3200"/>
            <w:shd w:fill="F2F2F2" w:color="auto" w:val="clear"/>
          </w:tcPr>
          <w:p>
            <w:pPr>
              <w:spacing w:after="40" w:before="40"/>
            </w:pPr>
            <w:r>
              <w:rPr>
                <w:b/>
                <w:bCs/>
                <w:sz w:val="19"/>
                <w:szCs w:val="19"/>
              </w:rPr>
              <w:t xml:space="preserve"/>
            </w:r>
          </w:p>
        </w:tc>
        <w:tc>
          <w:tcPr>
            <w:tcW w:type="dxa" w:w="3080"/>
            <w:shd w:fill="F2F2F2" w:color="auto" w:val="clear"/>
          </w:tcPr>
          <w:p>
            <w:pPr>
              <w:spacing w:after="40" w:before="40"/>
            </w:pPr>
            <w:r>
              <w:rPr>
                <w:b/>
                <w:bCs/>
                <w:sz w:val="19"/>
                <w:szCs w:val="19"/>
              </w:rPr>
              <w:t xml:space="preserve">Before</w:t>
            </w:r>
          </w:p>
        </w:tc>
        <w:tc>
          <w:tcPr>
            <w:tcW w:type="dxa" w:w="3080"/>
            <w:shd w:fill="F2F2F2" w:color="auto" w:val="clear"/>
          </w:tcPr>
          <w:p>
            <w:pPr>
              <w:spacing w:after="40" w:before="40"/>
            </w:pPr>
            <w:r>
              <w:rPr>
                <w:b/>
                <w:bCs/>
                <w:sz w:val="19"/>
                <w:szCs w:val="19"/>
              </w:rPr>
              <w:t xml:space="preserve">After</w:t>
            </w:r>
          </w:p>
        </w:tc>
      </w:tr>
      <w:tr>
        <w:tc>
          <w:tcPr>
            <w:tcW w:type="dxa" w:w="3200"/>
          </w:tcPr>
          <w:p>
            <w:pPr>
              <w:spacing w:after="40" w:before="40"/>
            </w:pPr>
            <w:r>
              <w:rPr>
                <w:b w:val="false"/>
                <w:bCs w:val="false"/>
                <w:sz w:val="19"/>
                <w:szCs w:val="19"/>
              </w:rPr>
              <w:t xml:space="preserve">Reports</w:t>
            </w:r>
          </w:p>
        </w:tc>
        <w:tc>
          <w:tcPr>
            <w:tcW w:type="dxa" w:w="3080"/>
          </w:tcPr>
          <w:p>
            <w:pPr>
              <w:spacing w:after="40" w:before="40"/>
            </w:pPr>
            <w:r>
              <w:rPr>
                <w:b w:val="false"/>
                <w:bCs w:val="false"/>
                <w:sz w:val="19"/>
                <w:szCs w:val="19"/>
              </w:rPr>
              <w:t xml:space="preserve">124</w:t>
            </w:r>
          </w:p>
        </w:tc>
        <w:tc>
          <w:tcPr>
            <w:tcW w:type="dxa" w:w="3080"/>
          </w:tcPr>
          <w:p>
            <w:pPr>
              <w:spacing w:after="40" w:before="40"/>
            </w:pPr>
            <w:r>
              <w:rPr>
                <w:b w:val="false"/>
                <w:bCs w:val="false"/>
                <w:sz w:val="19"/>
                <w:szCs w:val="19"/>
              </w:rPr>
              <w:t xml:space="preserve">127</w:t>
            </w:r>
          </w:p>
        </w:tc>
      </w:tr>
      <w:tr>
        <w:tc>
          <w:tcPr>
            <w:tcW w:type="dxa" w:w="3200"/>
          </w:tcPr>
          <w:p>
            <w:pPr>
              <w:spacing w:after="40" w:before="40"/>
            </w:pPr>
            <w:r>
              <w:rPr>
                <w:b w:val="false"/>
                <w:bCs w:val="false"/>
                <w:sz w:val="19"/>
                <w:szCs w:val="19"/>
              </w:rPr>
              <w:t xml:space="preserve">Documented dependencies</w:t>
            </w:r>
          </w:p>
        </w:tc>
        <w:tc>
          <w:tcPr>
            <w:tcW w:type="dxa" w:w="3080"/>
          </w:tcPr>
          <w:p>
            <w:pPr>
              <w:spacing w:after="40" w:before="40"/>
            </w:pPr>
            <w:r>
              <w:rPr>
                <w:b w:val="false"/>
                <w:bCs w:val="false"/>
                <w:sz w:val="19"/>
                <w:szCs w:val="19"/>
              </w:rPr>
              <w:t xml:space="preserve">196</w:t>
            </w:r>
          </w:p>
        </w:tc>
        <w:tc>
          <w:tcPr>
            <w:tcW w:type="dxa" w:w="3080"/>
          </w:tcPr>
          <w:p>
            <w:pPr>
              <w:spacing w:after="40" w:before="40"/>
            </w:pPr>
            <w:r>
              <w:rPr>
                <w:b w:val="false"/>
                <w:bCs w:val="false"/>
                <w:sz w:val="19"/>
                <w:szCs w:val="19"/>
              </w:rPr>
              <w:t xml:space="preserve">201</w:t>
            </w:r>
          </w:p>
        </w:tc>
      </w:tr>
      <w:tr>
        <w:tc>
          <w:tcPr>
            <w:tcW w:type="dxa" w:w="3200"/>
          </w:tcPr>
          <w:p>
            <w:pPr>
              <w:spacing w:after="40" w:before="40"/>
            </w:pPr>
            <w:r>
              <w:rPr>
                <w:b w:val="false"/>
                <w:bCs w:val="false"/>
                <w:sz w:val="19"/>
                <w:szCs w:val="19"/>
              </w:rPr>
              <w:t xml:space="preserve">Undirected documented links</w:t>
            </w:r>
          </w:p>
        </w:tc>
        <w:tc>
          <w:tcPr>
            <w:tcW w:type="dxa" w:w="3080"/>
          </w:tcPr>
          <w:p>
            <w:pPr>
              <w:spacing w:after="40" w:before="40"/>
            </w:pPr>
            <w:r>
              <w:rPr>
                <w:b w:val="false"/>
                <w:bCs w:val="false"/>
                <w:sz w:val="19"/>
                <w:szCs w:val="19"/>
              </w:rPr>
              <w:t xml:space="preserve">194</w:t>
            </w:r>
          </w:p>
        </w:tc>
        <w:tc>
          <w:tcPr>
            <w:tcW w:type="dxa" w:w="3080"/>
          </w:tcPr>
          <w:p>
            <w:pPr>
              <w:spacing w:after="40" w:before="40"/>
            </w:pPr>
            <w:r>
              <w:rPr>
                <w:b w:val="false"/>
                <w:bCs w:val="false"/>
                <w:sz w:val="19"/>
                <w:szCs w:val="19"/>
              </w:rPr>
              <w:t xml:space="preserve">199</w:t>
            </w:r>
          </w:p>
        </w:tc>
      </w:tr>
      <w:tr>
        <w:tc>
          <w:tcPr>
            <w:tcW w:type="dxa" w:w="3200"/>
          </w:tcPr>
          <w:p>
            <w:pPr>
              <w:spacing w:after="40" w:before="40"/>
            </w:pPr>
            <w:r>
              <w:rPr>
                <w:b w:val="false"/>
                <w:bCs w:val="false"/>
                <w:sz w:val="19"/>
                <w:szCs w:val="19"/>
              </w:rPr>
              <w:t xml:space="preserve">Bridges</w:t>
            </w:r>
          </w:p>
        </w:tc>
        <w:tc>
          <w:tcPr>
            <w:tcW w:type="dxa" w:w="3080"/>
          </w:tcPr>
          <w:p>
            <w:pPr>
              <w:spacing w:after="40" w:before="40"/>
            </w:pPr>
            <w:r>
              <w:rPr>
                <w:b w:val="false"/>
                <w:bCs w:val="false"/>
                <w:sz w:val="19"/>
                <w:szCs w:val="19"/>
              </w:rPr>
              <w:t xml:space="preserve">40 (21%)</w:t>
            </w:r>
          </w:p>
        </w:tc>
        <w:tc>
          <w:tcPr>
            <w:tcW w:type="dxa" w:w="3080"/>
          </w:tcPr>
          <w:p>
            <w:pPr>
              <w:spacing w:after="40" w:before="40"/>
            </w:pPr>
            <w:r>
              <w:rPr>
                <w:b w:val="false"/>
                <w:bCs w:val="false"/>
                <w:sz w:val="19"/>
                <w:szCs w:val="19"/>
              </w:rPr>
              <w:t xml:space="preserve">41 (21%)</w:t>
            </w:r>
          </w:p>
        </w:tc>
      </w:tr>
      <w:tr>
        <w:tc>
          <w:tcPr>
            <w:tcW w:type="dxa" w:w="3200"/>
          </w:tcPr>
          <w:p>
            <w:pPr>
              <w:spacing w:after="40" w:before="40"/>
            </w:pPr>
            <w:r>
              <w:rPr>
                <w:b w:val="false"/>
                <w:bCs w:val="false"/>
                <w:sz w:val="19"/>
                <w:szCs w:val="19"/>
              </w:rPr>
              <w:t xml:space="preserve">Articulation points</w:t>
            </w:r>
          </w:p>
        </w:tc>
        <w:tc>
          <w:tcPr>
            <w:tcW w:type="dxa" w:w="3080"/>
          </w:tcPr>
          <w:p>
            <w:pPr>
              <w:spacing w:after="40" w:before="40"/>
            </w:pPr>
            <w:r>
              <w:rPr>
                <w:b w:val="false"/>
                <w:bCs w:val="false"/>
                <w:sz w:val="19"/>
                <w:szCs w:val="19"/>
              </w:rPr>
              <w:t xml:space="preserve">31 of 124 (25%)</w:t>
            </w:r>
          </w:p>
        </w:tc>
        <w:tc>
          <w:tcPr>
            <w:tcW w:type="dxa" w:w="3080"/>
          </w:tcPr>
          <w:p>
            <w:pPr>
              <w:spacing w:after="40" w:before="40"/>
            </w:pPr>
            <w:r>
              <w:rPr>
                <w:b w:val="false"/>
                <w:bCs w:val="false"/>
                <w:sz w:val="19"/>
                <w:szCs w:val="19"/>
              </w:rPr>
              <w:t xml:space="preserve">31 of 127 (24%)</w:t>
            </w:r>
          </w:p>
        </w:tc>
      </w:tr>
      <w:tr>
        <w:tc>
          <w:tcPr>
            <w:tcW w:type="dxa" w:w="3200"/>
          </w:tcPr>
          <w:p>
            <w:pPr>
              <w:spacing w:after="40" w:before="40"/>
            </w:pPr>
            <w:r>
              <w:rPr>
                <w:b w:val="false"/>
                <w:bCs w:val="false"/>
                <w:sz w:val="19"/>
                <w:szCs w:val="19"/>
              </w:rPr>
              <w:t xml:space="preserve">NAICS in-degree</w:t>
            </w:r>
          </w:p>
        </w:tc>
        <w:tc>
          <w:tcPr>
            <w:tcW w:type="dxa" w:w="3080"/>
          </w:tcPr>
          <w:p>
            <w:pPr>
              <w:spacing w:after="40" w:before="40"/>
            </w:pPr>
            <w:r>
              <w:rPr>
                <w:b w:val="false"/>
                <w:bCs w:val="false"/>
                <w:sz w:val="19"/>
                <w:szCs w:val="19"/>
              </w:rPr>
              <w:t xml:space="preserve">6</w:t>
            </w:r>
          </w:p>
        </w:tc>
        <w:tc>
          <w:tcPr>
            <w:tcW w:type="dxa" w:w="3080"/>
          </w:tcPr>
          <w:p>
            <w:pPr>
              <w:spacing w:after="40" w:before="40"/>
            </w:pPr>
            <w:r>
              <w:rPr>
                <w:b w:val="false"/>
                <w:bCs w:val="false"/>
                <w:sz w:val="19"/>
                <w:szCs w:val="19"/>
              </w:rPr>
              <w:t xml:space="preserve">8</w:t>
            </w:r>
          </w:p>
        </w:tc>
      </w:tr>
    </w:tbl>
    <w:p>
      <w:pPr>
        <w:spacing w:after="110"/>
      </w:pPr>
      <w:r>
        <w:rPr>
          <w:sz w:val="21"/>
          <w:szCs w:val="21"/>
        </w:rPr>
        <w:t xml:space="preserve"/>
      </w:r>
    </w:p>
    <w:p>
      <w:pPr>
        <w:spacing w:after="110"/>
      </w:pPr>
      <w:r>
        <w:rPr>
          <w:sz w:val="21"/>
          <w:szCs w:val="21"/>
        </w:rPr>
        <w:t xml:space="preserve">Three new nodes — Monthly Survey of Manufacturing (record 2101), Annual Survey of Manufacturing and Logging (2103), and the National Occupational Classification. Five new edges. Fifteen new _dropped entries, of which six are documented non-dependencies and three are leads.</w:t>
      </w:r>
    </w:p>
    <w:p>
      <w:pPr>
        <w:spacing w:after="110"/>
      </w:pPr>
      <w:r>
        <w:rPr>
          <w:sz w:val="21"/>
          <w:szCs w:val="21"/>
        </w:rPr>
        <w:t xml:space="preserve">The structural result is good and specific: exactly one of the five new edges is a bridge, and it is the NOC leaf. The manufacturing pair added zero bridges because MSM, ASML and NAICS form a triangle — each connects to the other two. That is the shape EXPANSION-V1 said to aim for.</w:t>
      </w:r>
    </w:p>
    <w:p>
      <w:pPr>
        <w:spacing w:after="110"/>
      </w:pPr>
      <w:r>
        <w:rPr>
          <w:sz w:val="21"/>
          <w:szCs w:val="21"/>
        </w:rPr>
        <w:t xml:space="preserve">But the entry strategy in that document is half wrong, and this is the first thing you should know:</w:t>
      </w:r>
    </w:p>
    <w:p>
      <w:pPr>
        <w:spacing w:after="130"/>
        <w:ind w:left="280"/>
      </w:pPr>
      <w:r>
        <w:rPr>
          <w:i/>
          <w:iCs/>
          <w:color w:val="555555"/>
          <w:sz w:val="20"/>
          <w:szCs w:val="20"/>
        </w:rPr>
        <w:t xml:space="preserve">EXPANSION-V1 said to enter new territory through its classification hub. NAICS gained two edges — from the two manufacturing surveys. NOC and NAPCS, read directly, produced one weak edge and four documented non-dependencies. A classification document describes alignment, comparability and concordance; it does not describe derivation. The hub is a hub because other documents name it, not because it names things. So the move is not "read the classification", it is "find the programmes coded on it and read their methodology pages".</w:t>
      </w:r>
    </w:p>
    <w:p>
      <w:pPr>
        <w:spacing w:after="110"/>
      </w:pPr>
      <w:r>
        <w:rPr>
          <w:sz w:val="21"/>
          <w:szCs w:val="21"/>
        </w:rPr>
        <w:t xml:space="preserve">NAPCS is currently dropped from every build, because it ended up with no edges at all. Which is Q4.</w:t>
      </w:r>
    </w:p>
    <w:p>
      <w:pPr>
        <w:pStyle w:val="Heading1"/>
        <w:spacing w:after="140" w:before="360"/>
      </w:pPr>
      <w:r>
        <w:t xml:space="preserve">A.  The scope rule — your question back to me</w:t>
      </w:r>
    </w:p>
    <w:p>
      <w:pPr>
        <w:spacing w:after="110"/>
      </w:pPr>
      <w:r>
        <w:rPr>
          <w:sz w:val="21"/>
          <w:szCs w:val="21"/>
        </w:rPr>
        <w:t xml:space="preserve">You asked what you could say that would allow Haver Analytics and the Minister’s unnamed commodity brokers. Here is the honest answer: they fail for two different reasons, and neither is fixed by loosening the evidence standard. They are fixed by giving the graph a way to say why a chain stops.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400"/>
        <w:gridCol w:w="3660"/>
      </w:tblGrid>
      <w:tr>
        <w:tc>
          <w:tcPr>
            <w:tcW w:type="dxa" w:w="2300"/>
            <w:shd w:fill="F2F2F2" w:color="auto" w:val="clear"/>
          </w:tcPr>
          <w:p>
            <w:pPr>
              <w:spacing w:after="40" w:before="40"/>
            </w:pPr>
            <w:r>
              <w:rPr>
                <w:b/>
                <w:bCs/>
                <w:sz w:val="19"/>
                <w:szCs w:val="19"/>
              </w:rPr>
              <w:t xml:space="preserve">Case</w:t>
            </w:r>
          </w:p>
        </w:tc>
        <w:tc>
          <w:tcPr>
            <w:tcW w:type="dxa" w:w="3400"/>
            <w:shd w:fill="F2F2F2" w:color="auto" w:val="clear"/>
          </w:tcPr>
          <w:p>
            <w:pPr>
              <w:spacing w:after="40" w:before="40"/>
            </w:pPr>
            <w:r>
              <w:rPr>
                <w:b/>
                <w:bCs/>
                <w:sz w:val="19"/>
                <w:szCs w:val="19"/>
              </w:rPr>
              <w:t xml:space="preserve">Why it fails now</w:t>
            </w:r>
          </w:p>
        </w:tc>
        <w:tc>
          <w:tcPr>
            <w:tcW w:type="dxa" w:w="3660"/>
            <w:shd w:fill="F2F2F2" w:color="auto" w:val="clear"/>
          </w:tcPr>
          <w:p>
            <w:pPr>
              <w:spacing w:after="40" w:before="40"/>
            </w:pPr>
            <w:r>
              <w:rPr>
                <w:b/>
                <w:bCs/>
                <w:sz w:val="19"/>
                <w:szCs w:val="19"/>
              </w:rPr>
              <w:t xml:space="preserve">What would admit it</w:t>
            </w:r>
          </w:p>
        </w:tc>
      </w:tr>
      <w:tr>
        <w:tc>
          <w:tcPr>
            <w:tcW w:type="dxa" w:w="2300"/>
          </w:tcPr>
          <w:p>
            <w:pPr>
              <w:spacing w:after="40" w:before="40"/>
            </w:pPr>
            <w:r>
              <w:rPr>
                <w:b w:val="false"/>
                <w:bCs w:val="false"/>
                <w:sz w:val="19"/>
                <w:szCs w:val="19"/>
              </w:rPr>
              <w:t xml:space="preserve">Haver Analytics</w:t>
            </w:r>
          </w:p>
        </w:tc>
        <w:tc>
          <w:tcPr>
            <w:tcW w:type="dxa" w:w="3400"/>
          </w:tcPr>
          <w:p>
            <w:pPr>
              <w:spacing w:after="40" w:before="40"/>
            </w:pPr>
            <w:r>
              <w:rPr>
                <w:b w:val="false"/>
                <w:bCs w:val="false"/>
                <w:sz w:val="19"/>
                <w:szCs w:val="19"/>
              </w:rPr>
              <w:t xml:space="preserve">Redistributes other people’s data on no cadence of its own. It publishes nothing.</w:t>
            </w:r>
          </w:p>
        </w:tc>
        <w:tc>
          <w:tcPr>
            <w:tcW w:type="dxa" w:w="3660"/>
          </w:tcPr>
          <w:p>
            <w:pPr>
              <w:spacing w:after="40" w:before="40"/>
            </w:pPr>
            <w:r>
              <w:rPr>
                <w:b w:val="false"/>
                <w:bCs w:val="false"/>
                <w:sz w:val="19"/>
                <w:szCs w:val="19"/>
              </w:rPr>
              <w:t xml:space="preserve">It is not a node, it is a property of an edge — the Bank reaches BEA data via Haver. A `via` field on the Dependency.</w:t>
            </w:r>
          </w:p>
        </w:tc>
      </w:tr>
      <w:tr>
        <w:tc>
          <w:tcPr>
            <w:tcW w:type="dxa" w:w="2300"/>
          </w:tcPr>
          <w:p>
            <w:pPr>
              <w:spacing w:after="40" w:before="40"/>
            </w:pPr>
            <w:r>
              <w:rPr>
                <w:b w:val="false"/>
                <w:bCs w:val="false"/>
                <w:sz w:val="19"/>
                <w:szCs w:val="19"/>
              </w:rPr>
              <w:t xml:space="preserve">Minister’s commodity brokers</w:t>
            </w:r>
          </w:p>
        </w:tc>
        <w:tc>
          <w:tcPr>
            <w:tcW w:type="dxa" w:w="3400"/>
          </w:tcPr>
          <w:p>
            <w:pPr>
              <w:spacing w:after="40" w:before="40"/>
            </w:pPr>
            <w:r>
              <w:rPr>
                <w:b w:val="false"/>
                <w:bCs w:val="false"/>
                <w:sz w:val="19"/>
                <w:szCs w:val="19"/>
              </w:rPr>
              <w:t xml:space="preserve">The BVM Regulation names a slot, filled by ministerial order. No stable publication exists to point at.</w:t>
            </w:r>
          </w:p>
        </w:tc>
        <w:tc>
          <w:tcPr>
            <w:tcW w:type="dxa" w:w="3660"/>
          </w:tcPr>
          <w:p>
            <w:pPr>
              <w:spacing w:after="40" w:before="40"/>
            </w:pPr>
            <w:r>
              <w:rPr>
                <w:b w:val="false"/>
                <w:bCs w:val="false"/>
                <w:sz w:val="19"/>
                <w:szCs w:val="19"/>
              </w:rPr>
              <w:t xml:space="preserve">The slot itself is citable — the regulation names it. A node whose publisher is "set by ministerial order", marked as an unidentified terminus.</w:t>
            </w:r>
          </w:p>
        </w:tc>
      </w:tr>
      <w:tr>
        <w:tc>
          <w:tcPr>
            <w:tcW w:type="dxa" w:w="2300"/>
          </w:tcPr>
          <w:p>
            <w:pPr>
              <w:spacing w:after="40" w:before="40"/>
            </w:pPr>
            <w:r>
              <w:rPr>
                <w:b w:val="false"/>
                <w:bCs w:val="false"/>
                <w:sz w:val="19"/>
                <w:szCs w:val="19"/>
              </w:rPr>
              <w:t xml:space="preserve">CRA PD7 forms, GST files, T1/T2 tax data, FR 2644</w:t>
            </w:r>
          </w:p>
        </w:tc>
        <w:tc>
          <w:tcPr>
            <w:tcW w:type="dxa" w:w="3400"/>
          </w:tcPr>
          <w:p>
            <w:pPr>
              <w:spacing w:after="40" w:before="40"/>
            </w:pPr>
            <w:r>
              <w:rPr>
                <w:b w:val="false"/>
                <w:bCs w:val="false"/>
                <w:sz w:val="19"/>
                <w:szCs w:val="19"/>
              </w:rPr>
              <w:t xml:space="preserve">Real, named, and not publications.</w:t>
            </w:r>
          </w:p>
        </w:tc>
        <w:tc>
          <w:tcPr>
            <w:tcW w:type="dxa" w:w="3660"/>
          </w:tcPr>
          <w:p>
            <w:pPr>
              <w:spacing w:after="40" w:before="40"/>
            </w:pPr>
            <w:r>
              <w:rPr>
                <w:b w:val="false"/>
                <w:bCs w:val="false"/>
                <w:sz w:val="19"/>
                <w:szCs w:val="19"/>
              </w:rPr>
              <w:t xml:space="preserve">A node marked as an unpublishable terminus. Currently 19 _dropped notes.</w:t>
            </w:r>
          </w:p>
        </w:tc>
      </w:tr>
    </w:tbl>
    <w:p>
      <w:pPr>
        <w:spacing w:after="110"/>
      </w:pPr>
      <w:r>
        <w:rPr>
          <w:sz w:val="21"/>
          <w:szCs w:val="21"/>
        </w:rPr>
        <w:t xml:space="preserve"/>
      </w:r>
    </w:p>
    <w:p>
      <w:pPr>
        <w:spacing w:after="110"/>
      </w:pPr>
      <w:r>
        <w:rPr>
          <w:sz w:val="21"/>
          <w:szCs w:val="21"/>
        </w:rPr>
        <w:t xml:space="preserve">So the proposal is one optional field, on the Report:</w:t>
      </w:r>
    </w:p>
    <w:p>
      <w:pPr>
        <w:pStyle w:val="ListParagraph"/>
        <w:numPr>
          <w:ilvl w:val="0"/>
          <w:numId w:val="1"/>
        </w:numPr>
        <w:spacing w:after="70"/>
      </w:pPr>
      <w:r>
        <w:rPr>
          <w:sz w:val="21"/>
          <w:szCs w:val="21"/>
        </w:rPr>
        <w:t xml:space="preserve">terminal_reason: unpublishable | unidentified | redistributed | confidential</w:t>
      </w:r>
    </w:p>
    <w:p>
      <w:pPr>
        <w:spacing w:after="110"/>
      </w:pPr>
      <w:r>
        <w:rPr>
          <w:sz w:val="21"/>
          <w:szCs w:val="21"/>
        </w:rPr>
        <w:t xml:space="preserve">A node carrying it is drawn distinctly, excluded from the authority calculation by subtraction exactly as commercial nodes already are, and exists to record that the chain ends here and why. It converts roughly 41 invisible _dropped notes into visible structure, and it answers the question the graph exists to answer — "what would break if this changed" — for inputs that currently have no representation at all.</w:t>
      </w:r>
    </w:p>
    <w:p>
      <w:pPr>
        <w:spacing w:after="80" w:before="200"/>
      </w:pPr>
      <w:r>
        <w:rPr>
          <w:b/>
          <w:bCs/>
          <w:color w:val="8C3A00"/>
          <w:sz w:val="22"/>
          <w:szCs w:val="22"/>
        </w:rPr>
        <w:t xml:space="preserve">Q1.  </w:t>
      </w:r>
      <w:r>
        <w:rPr>
          <w:b/>
          <w:bCs/>
          <w:sz w:val="22"/>
          <w:szCs w:val="22"/>
        </w:rPr>
        <w:t xml:space="preserve">Do you want terminal_reason as a node field, or would you rather these stay in _dropped?</w:t>
      </w:r>
    </w:p>
    <w:p>
      <w:pPr>
        <w:spacing w:after="100"/>
        <w:ind w:left="280"/>
      </w:pPr>
      <w:r>
        <w:rPr>
          <w:b/>
          <w:bCs/>
          <w:color w:val="444444"/>
          <w:sz w:val="20"/>
          <w:szCs w:val="20"/>
        </w:rPr>
        <w:t xml:space="preserve">My recommendation: </w:t>
      </w:r>
      <w:r>
        <w:rPr>
          <w:color w:val="444444"/>
          <w:sz w:val="20"/>
          <w:szCs w:val="20"/>
        </w:rPr>
        <w:t xml:space="preserve">Take it. It is the same argument that admitted J.D. Power in V0.4 — the node rule was excluding a real fact about fragility. And it pairs with your standing-alone-nodes decision, because most of these are islands by nature.</w:t>
      </w:r>
    </w:p>
    <w:p>
      <w:pPr>
        <w:pBdr>
          <w:bottom w:val="single" w:color="BBBBBB" w:sz="4" w:space="6"/>
        </w:pBdr>
        <w:spacing w:after="220" w:before="60"/>
        <w:ind w:left="280"/>
      </w:pPr>
      <w:r>
        <w:rPr>
          <w:b/>
          <w:bCs/>
          <w:color w:val="1F5C99"/>
          <w:sz w:val="20"/>
          <w:szCs w:val="20"/>
        </w:rPr>
        <w:t xml:space="preserve">Your answer:</w:t>
      </w:r>
      <w:r>
        <w:rPr>
          <w:sz w:val="20"/>
          <w:szCs w:val="20"/>
        </w:rPr>
        <w:t xml:space="preserve">  </w:t>
      </w:r>
    </w:p>
    <w:p>
      <w:pPr>
        <w:spacing w:after="80" w:before="200"/>
      </w:pPr>
      <w:r>
        <w:rPr>
          <w:b/>
          <w:bCs/>
          <w:color w:val="8C3A00"/>
          <w:sz w:val="22"/>
          <w:szCs w:val="22"/>
        </w:rPr>
        <w:t xml:space="preserve">Q2.  </w:t>
      </w:r>
      <w:r>
        <w:rPr>
          <w:b/>
          <w:bCs/>
          <w:sz w:val="22"/>
          <w:szCs w:val="22"/>
        </w:rPr>
        <w:t xml:space="preserve">`via` on the edge for redistributors — worth it, or is Haver just noise?</w:t>
      </w:r>
    </w:p>
    <w:p>
      <w:pPr>
        <w:spacing w:after="100"/>
        <w:ind w:left="280"/>
      </w:pPr>
      <w:r>
        <w:rPr>
          <w:b/>
          <w:bCs/>
          <w:color w:val="444444"/>
          <w:sz w:val="20"/>
          <w:szCs w:val="20"/>
        </w:rPr>
        <w:t xml:space="preserve">My recommendation: </w:t>
      </w:r>
      <w:r>
        <w:rPr>
          <w:color w:val="444444"/>
          <w:sz w:val="20"/>
          <w:szCs w:val="20"/>
        </w:rPr>
        <w:t xml:space="preserve">Lower priority than Q1. One known instance. Add the field when there is a second.</w:t>
      </w:r>
    </w:p>
    <w:p>
      <w:pPr>
        <w:pBdr>
          <w:bottom w:val="single" w:color="BBBBBB" w:sz="4" w:space="6"/>
        </w:pBdr>
        <w:spacing w:after="220" w:before="60"/>
        <w:ind w:left="280"/>
      </w:pPr>
      <w:r>
        <w:rPr>
          <w:b/>
          <w:bCs/>
          <w:color w:val="1F5C99"/>
          <w:sz w:val="20"/>
          <w:szCs w:val="20"/>
        </w:rPr>
        <w:t xml:space="preserve">Your answer:</w:t>
      </w:r>
      <w:r>
        <w:rPr>
          <w:sz w:val="20"/>
          <w:szCs w:val="20"/>
        </w:rPr>
        <w:t xml:space="preserve">  </w:t>
      </w:r>
    </w:p>
    <w:p>
      <w:pPr>
        <w:pStyle w:val="Heading2"/>
        <w:spacing w:after="100" w:before="260"/>
      </w:pPr>
      <w:r>
        <w:t xml:space="preserve">The census — you can stop worrying about this one</w:t>
      </w:r>
    </w:p>
    <w:p>
      <w:pPr>
        <w:spacing w:after="110"/>
      </w:pPr>
      <w:r>
        <w:rPr>
          <w:sz w:val="21"/>
          <w:szCs w:val="21"/>
        </w:rPr>
        <w:t xml:space="preserve">Already handled, and it has been since V0.6. releases_per_year is fractional on purpose: the Canadian Census of Population sits at 0.2 (every five years) and the US decennial at 0.1. Both are in the graph, and the Census is currently the third-highest-authority node in it. REPORTS.md puts it plainly — 0.05 is "about once a generation", and that is a fact a bucket cannot hold. Nothing needs to change and nothing is being excluded for being infrequent.</w:t>
      </w:r>
    </w:p>
    <w:p>
      <w:pPr>
        <w:pStyle w:val="Heading1"/>
        <w:spacing w:after="140" w:before="360"/>
      </w:pPr>
      <w:r>
        <w:t xml:space="preserve">B.  Standing-alone nodes — you said delete it</w:t>
      </w:r>
    </w:p>
    <w:p>
      <w:pPr>
        <w:spacing w:after="110"/>
      </w:pPr>
      <w:r>
        <w:rPr>
          <w:sz w:val="21"/>
          <w:szCs w:val="21"/>
        </w:rPr>
        <w:t xml:space="preserve">Agreed, and for a better reason than looseness. The loader silently dropping orphans meant the graph was lying about what we know: fed-h15 is thoroughly researched, its every input is unpublishable, and V2.10 calls it the worked example the disclosure decision was waiting for — and it has never once appeared on screen. "The standard working" was the wrong description. The standard working would be showing it and showing why it is alone.</w:t>
      </w:r>
    </w:p>
    <w:p>
      <w:pPr>
        <w:spacing w:after="110"/>
      </w:pPr>
      <w:r>
        <w:rPr>
          <w:sz w:val="21"/>
          <w:szCs w:val="21"/>
        </w:rPr>
        <w:t xml:space="preserve">Deleting the drop returns three nodes immediately: fed-h15, LGFF Operating, and NAPCS from this session.</w:t>
      </w:r>
    </w:p>
    <w:p>
      <w:pPr>
        <w:spacing w:after="110"/>
      </w:pPr>
      <w:r>
        <w:rPr>
          <w:sz w:val="21"/>
          <w:szCs w:val="21"/>
        </w:rPr>
        <w:t xml:space="preserve">One distinction to keep, though. Two different things get dropped today:</w:t>
      </w:r>
    </w:p>
    <w:p>
      <w:pPr>
        <w:pStyle w:val="ListParagraph"/>
        <w:numPr>
          <w:ilvl w:val="0"/>
          <w:numId w:val="1"/>
        </w:numPr>
        <w:spacing w:after="70"/>
      </w:pPr>
      <w:r>
        <w:rPr>
          <w:sz w:val="21"/>
          <w:szCs w:val="21"/>
        </w:rPr>
        <w:t xml:space="preserve">An orphan node — a real node with no edges. Stop dropping these. That is your call and I agree.</w:t>
      </w:r>
    </w:p>
    <w:p>
      <w:pPr>
        <w:pStyle w:val="ListParagraph"/>
        <w:numPr>
          <w:ilvl w:val="0"/>
          <w:numId w:val="1"/>
        </w:numPr>
        <w:spacing w:after="70"/>
      </w:pPr>
      <w:r>
        <w:rPr>
          <w:sz w:val="21"/>
          <w:szCs w:val="21"/>
        </w:rPr>
        <w:t xml:space="preserve">A dangling edge — an edge pointing at a node id that does not exist. Keep dropping these. They are a data error, not an island, and tolerating them is what lets slices arrive in any order.</w:t>
      </w:r>
    </w:p>
    <w:p>
      <w:pPr>
        <w:spacing w:after="80" w:before="200"/>
      </w:pPr>
      <w:r>
        <w:rPr>
          <w:b/>
          <w:bCs/>
          <w:color w:val="8C3A00"/>
          <w:sz w:val="22"/>
          <w:szCs w:val="22"/>
        </w:rPr>
        <w:t xml:space="preserve">Q3.  </w:t>
      </w:r>
      <w:r>
        <w:rPr>
          <w:b/>
          <w:bCs/>
          <w:sz w:val="22"/>
          <w:szCs w:val="22"/>
        </w:rPr>
        <w:t xml:space="preserve">Confirm: stop dropping orphan nodes, keep dropping dangling edges?</w:t>
      </w:r>
    </w:p>
    <w:p>
      <w:pPr>
        <w:pBdr>
          <w:bottom w:val="single" w:color="BBBBBB" w:sz="4" w:space="6"/>
        </w:pBdr>
        <w:spacing w:after="220" w:before="60"/>
        <w:ind w:left="280"/>
      </w:pPr>
      <w:r>
        <w:rPr>
          <w:b/>
          <w:bCs/>
          <w:color w:val="1F5C99"/>
          <w:sz w:val="20"/>
          <w:szCs w:val="20"/>
        </w:rPr>
        <w:t xml:space="preserve">Your answer:</w:t>
      </w:r>
      <w:r>
        <w:rPr>
          <w:sz w:val="20"/>
          <w:szCs w:val="20"/>
        </w:rPr>
        <w:t xml:space="preserve">  </w:t>
      </w:r>
    </w:p>
    <w:p>
      <w:pPr>
        <w:spacing w:after="80" w:before="200"/>
      </w:pPr>
      <w:r>
        <w:rPr>
          <w:b/>
          <w:bCs/>
          <w:color w:val="8C3A00"/>
          <w:sz w:val="22"/>
          <w:szCs w:val="22"/>
        </w:rPr>
        <w:t xml:space="preserve">Q4.  </w:t>
      </w:r>
      <w:r>
        <w:rPr>
          <w:b/>
          <w:bCs/>
          <w:sz w:val="22"/>
          <w:szCs w:val="22"/>
        </w:rPr>
        <w:t xml:space="preserve">An orphan has no authority score, because authority comes from edges. How should it look?</w:t>
      </w:r>
    </w:p>
    <w:p>
      <w:pPr>
        <w:spacing w:after="110"/>
      </w:pPr>
      <w:r>
        <w:rPr>
          <w:sz w:val="21"/>
          <w:szCs w:val="21"/>
        </w:rPr>
        <w:t xml:space="preserve">Three options, and this matters more at 500 nodes than at 127 — a hundred islands with no visual distinction is dust around a cluster.</w:t>
      </w:r>
    </w:p>
    <w:p>
      <w:pPr>
        <w:pStyle w:val="ListParagraph"/>
        <w:numPr>
          <w:ilvl w:val="0"/>
          <w:numId w:val="1"/>
        </w:numPr>
        <w:spacing w:after="70"/>
      </w:pPr>
      <w:r>
        <w:rPr>
          <w:sz w:val="21"/>
          <w:szCs w:val="21"/>
        </w:rPr>
        <w:t xml:space="preserve">Minimum size, same styling. Simple; reads as "unimportant" rather than "unmeasured", which is wrong.</w:t>
      </w:r>
    </w:p>
    <w:p>
      <w:pPr>
        <w:pStyle w:val="ListParagraph"/>
        <w:numPr>
          <w:ilvl w:val="0"/>
          <w:numId w:val="1"/>
        </w:numPr>
        <w:spacing w:after="70"/>
      </w:pPr>
      <w:r>
        <w:rPr>
          <w:sz w:val="21"/>
          <w:szCs w:val="21"/>
        </w:rPr>
        <w:t xml:space="preserve">A distinct outline or hollow rendering — "no authority computed" as its own visual state.</w:t>
      </w:r>
    </w:p>
    <w:p>
      <w:pPr>
        <w:pStyle w:val="ListParagraph"/>
        <w:numPr>
          <w:ilvl w:val="0"/>
          <w:numId w:val="1"/>
        </w:numPr>
        <w:spacing w:after="70"/>
      </w:pPr>
      <w:r>
        <w:rPr>
          <w:sz w:val="21"/>
          <w:szCs w:val="21"/>
        </w:rPr>
        <w:t xml:space="preserve">Held outside the main cloud in a deliberate margin, so isolation is legible as isolation.</w:t>
      </w:r>
    </w:p>
    <w:p>
      <w:pPr>
        <w:spacing w:after="100"/>
        <w:ind w:left="280"/>
      </w:pPr>
      <w:r>
        <w:rPr>
          <w:b/>
          <w:bCs/>
          <w:color w:val="444444"/>
          <w:sz w:val="20"/>
          <w:szCs w:val="20"/>
        </w:rPr>
        <w:t xml:space="preserve">My recommendation: </w:t>
      </w:r>
      <w:r>
        <w:rPr>
          <w:color w:val="444444"/>
          <w:sz w:val="20"/>
          <w:szCs w:val="20"/>
        </w:rPr>
        <w:t xml:space="preserve">The second. It says the true thing, and it does not need a layout rule that could be read as asserting a hierarchy.</w:t>
      </w:r>
    </w:p>
    <w:p>
      <w:pPr>
        <w:pBdr>
          <w:bottom w:val="single" w:color="BBBBBB" w:sz="4" w:space="6"/>
        </w:pBdr>
        <w:spacing w:after="220" w:before="60"/>
        <w:ind w:left="280"/>
      </w:pPr>
      <w:r>
        <w:rPr>
          <w:b/>
          <w:bCs/>
          <w:color w:val="1F5C99"/>
          <w:sz w:val="20"/>
          <w:szCs w:val="20"/>
        </w:rPr>
        <w:t xml:space="preserve">Your answer:</w:t>
      </w:r>
      <w:r>
        <w:rPr>
          <w:sz w:val="20"/>
          <w:szCs w:val="20"/>
        </w:rPr>
        <w:t xml:space="preserve">  </w:t>
      </w:r>
    </w:p>
    <w:p>
      <w:pPr>
        <w:pStyle w:val="Heading1"/>
        <w:spacing w:after="140" w:before="360"/>
      </w:pPr>
      <w:r>
        <w:t xml:space="preserve">C.  500 nodes</w:t>
      </w:r>
    </w:p>
    <w:p>
      <w:pPr>
        <w:spacing w:after="110"/>
      </w:pPr>
      <w:r>
        <w:rPr>
          <w:sz w:val="21"/>
          <w:szCs w:val="21"/>
        </w:rPr>
        <w:t xml:space="preserve">Yes, I can handle 500. What breaks is not the maths — PageRank and the force layout are untroubled at that size, and proportional retention holds regardless. What breaks is legibility, and it is already broken at 127. That is section E.</w:t>
      </w:r>
    </w:p>
    <w:p>
      <w:pPr>
        <w:spacing w:after="110"/>
      </w:pPr>
      <w:r>
        <w:rPr>
          <w:sz w:val="21"/>
          <w:szCs w:val="21"/>
        </w:rPr>
        <w:t xml:space="preserve">The throughput arithmetic is the part worth deciding about. Research has run at roughly 10 nodes a session across eleven sessions. 500 at that rate is 37 more sessions. But there is a lot of slack that is not new research: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4860"/>
      </w:tblGrid>
      <w:tr>
        <w:tc>
          <w:tcPr>
            <w:tcW w:type="dxa" w:w="3000"/>
            <w:shd w:fill="F2F2F2" w:color="auto" w:val="clear"/>
          </w:tcPr>
          <w:p>
            <w:pPr>
              <w:spacing w:after="40" w:before="40"/>
            </w:pPr>
            <w:r>
              <w:rPr>
                <w:b/>
                <w:bCs/>
                <w:sz w:val="19"/>
                <w:szCs w:val="19"/>
              </w:rPr>
              <w:t xml:space="preserve">Source of nodes</w:t>
            </w:r>
          </w:p>
        </w:tc>
        <w:tc>
          <w:tcPr>
            <w:tcW w:type="dxa" w:w="1500"/>
            <w:shd w:fill="F2F2F2" w:color="auto" w:val="clear"/>
          </w:tcPr>
          <w:p>
            <w:pPr>
              <w:spacing w:after="40" w:before="40"/>
            </w:pPr>
            <w:r>
              <w:rPr>
                <w:b/>
                <w:bCs/>
                <w:sz w:val="19"/>
                <w:szCs w:val="19"/>
              </w:rPr>
              <w:t xml:space="preserve">Roughly</w:t>
            </w:r>
          </w:p>
        </w:tc>
        <w:tc>
          <w:tcPr>
            <w:tcW w:type="dxa" w:w="4860"/>
            <w:shd w:fill="F2F2F2" w:color="auto" w:val="clear"/>
          </w:tcPr>
          <w:p>
            <w:pPr>
              <w:spacing w:after="40" w:before="40"/>
            </w:pPr>
            <w:r>
              <w:rPr>
                <w:b/>
                <w:bCs/>
                <w:sz w:val="19"/>
                <w:szCs w:val="19"/>
              </w:rPr>
              <w:t xml:space="preserve">Needs</w:t>
            </w:r>
          </w:p>
        </w:tc>
      </w:tr>
      <w:tr>
        <w:tc>
          <w:tcPr>
            <w:tcW w:type="dxa" w:w="3000"/>
          </w:tcPr>
          <w:p>
            <w:pPr>
              <w:spacing w:after="40" w:before="40"/>
            </w:pPr>
            <w:r>
              <w:rPr>
                <w:b w:val="false"/>
                <w:bCs w:val="false"/>
                <w:sz w:val="19"/>
                <w:szCs w:val="19"/>
              </w:rPr>
              <w:t xml:space="preserve">_dropped leads already written down</w:t>
            </w:r>
          </w:p>
        </w:tc>
        <w:tc>
          <w:tcPr>
            <w:tcW w:type="dxa" w:w="1500"/>
          </w:tcPr>
          <w:p>
            <w:pPr>
              <w:spacing w:after="40" w:before="40"/>
            </w:pPr>
            <w:r>
              <w:rPr>
                <w:b w:val="false"/>
                <w:bCs w:val="false"/>
                <w:sz w:val="19"/>
                <w:szCs w:val="19"/>
              </w:rPr>
              <w:t xml:space="preserve">42 notes</w:t>
            </w:r>
          </w:p>
        </w:tc>
        <w:tc>
          <w:tcPr>
            <w:tcW w:type="dxa" w:w="4860"/>
          </w:tcPr>
          <w:p>
            <w:pPr>
              <w:spacing w:after="40" w:before="40"/>
            </w:pPr>
            <w:r>
              <w:rPr>
                <w:b w:val="false"/>
                <w:bCs w:val="false"/>
                <w:sz w:val="19"/>
                <w:szCs w:val="19"/>
              </w:rPr>
              <w:t xml:space="preserve">No new reading. The document was read; the node is missing.</w:t>
            </w:r>
          </w:p>
        </w:tc>
      </w:tr>
      <w:tr>
        <w:tc>
          <w:tcPr>
            <w:tcW w:type="dxa" w:w="3000"/>
          </w:tcPr>
          <w:p>
            <w:pPr>
              <w:spacing w:after="40" w:before="40"/>
            </w:pPr>
            <w:r>
              <w:rPr>
                <w:b w:val="false"/>
                <w:bCs w:val="false"/>
                <w:sz w:val="19"/>
                <w:szCs w:val="19"/>
              </w:rPr>
              <w:t xml:space="preserve">Terminal nodes, if Q1 is yes</w:t>
            </w:r>
          </w:p>
        </w:tc>
        <w:tc>
          <w:tcPr>
            <w:tcW w:type="dxa" w:w="1500"/>
          </w:tcPr>
          <w:p>
            <w:pPr>
              <w:spacing w:after="40" w:before="40"/>
            </w:pPr>
            <w:r>
              <w:rPr>
                <w:b w:val="false"/>
                <w:bCs w:val="false"/>
                <w:sz w:val="19"/>
                <w:szCs w:val="19"/>
              </w:rPr>
              <w:t xml:space="preserve">~41 notes</w:t>
            </w:r>
          </w:p>
        </w:tc>
        <w:tc>
          <w:tcPr>
            <w:tcW w:type="dxa" w:w="4860"/>
          </w:tcPr>
          <w:p>
            <w:pPr>
              <w:spacing w:after="40" w:before="40"/>
            </w:pPr>
            <w:r>
              <w:rPr>
                <w:b w:val="false"/>
                <w:bCs w:val="false"/>
                <w:sz w:val="19"/>
                <w:szCs w:val="19"/>
              </w:rPr>
              <w:t xml:space="preserve">No new reading.</w:t>
            </w:r>
          </w:p>
        </w:tc>
      </w:tr>
      <w:tr>
        <w:tc>
          <w:tcPr>
            <w:tcW w:type="dxa" w:w="3000"/>
          </w:tcPr>
          <w:p>
            <w:pPr>
              <w:spacing w:after="40" w:before="40"/>
            </w:pPr>
            <w:r>
              <w:rPr>
                <w:b w:val="false"/>
                <w:bCs w:val="false"/>
                <w:sz w:val="19"/>
                <w:szCs w:val="19"/>
              </w:rPr>
              <w:t xml:space="preserve">Orphans returning, if Q3 is yes</w:t>
            </w:r>
          </w:p>
        </w:tc>
        <w:tc>
          <w:tcPr>
            <w:tcW w:type="dxa" w:w="1500"/>
          </w:tcPr>
          <w:p>
            <w:pPr>
              <w:spacing w:after="40" w:before="40"/>
            </w:pPr>
            <w:r>
              <w:rPr>
                <w:b w:val="false"/>
                <w:bCs w:val="false"/>
                <w:sz w:val="19"/>
                <w:szCs w:val="19"/>
              </w:rPr>
              <w:t xml:space="preserve">3</w:t>
            </w:r>
          </w:p>
        </w:tc>
        <w:tc>
          <w:tcPr>
            <w:tcW w:type="dxa" w:w="4860"/>
          </w:tcPr>
          <w:p>
            <w:pPr>
              <w:spacing w:after="40" w:before="40"/>
            </w:pPr>
            <w:r>
              <w:rPr>
                <w:b w:val="false"/>
                <w:bCs w:val="false"/>
                <w:sz w:val="19"/>
                <w:szCs w:val="19"/>
              </w:rPr>
              <w:t xml:space="preserve">Nothing.</w:t>
            </w:r>
          </w:p>
        </w:tc>
      </w:tr>
      <w:tr>
        <w:tc>
          <w:tcPr>
            <w:tcW w:type="dxa" w:w="3000"/>
          </w:tcPr>
          <w:p>
            <w:pPr>
              <w:spacing w:after="40" w:before="40"/>
            </w:pPr>
            <w:r>
              <w:rPr>
                <w:b w:val="false"/>
                <w:bCs w:val="false"/>
                <w:sz w:val="19"/>
                <w:szCs w:val="19"/>
              </w:rPr>
              <w:t xml:space="preserve">StatCan IMDB programmes not yet touched</w:t>
            </w:r>
          </w:p>
        </w:tc>
        <w:tc>
          <w:tcPr>
            <w:tcW w:type="dxa" w:w="1500"/>
          </w:tcPr>
          <w:p>
            <w:pPr>
              <w:spacing w:after="40" w:before="40"/>
            </w:pPr>
            <w:r>
              <w:rPr>
                <w:b w:val="false"/>
                <w:bCs w:val="false"/>
                <w:sz w:val="19"/>
                <w:szCs w:val="19"/>
              </w:rPr>
              <w:t xml:space="preserve">hundreds</w:t>
            </w:r>
          </w:p>
        </w:tc>
        <w:tc>
          <w:tcPr>
            <w:tcW w:type="dxa" w:w="4860"/>
          </w:tcPr>
          <w:p>
            <w:pPr>
              <w:spacing w:after="40" w:before="40"/>
            </w:pPr>
            <w:r>
              <w:rPr>
                <w:b w:val="false"/>
                <w:bCs w:val="false"/>
                <w:sz w:val="19"/>
                <w:szCs w:val="19"/>
              </w:rPr>
              <w:t xml:space="preserve">A methodology page each. Mechanical.</w:t>
            </w:r>
          </w:p>
        </w:tc>
      </w:tr>
    </w:tbl>
    <w:p>
      <w:pPr>
        <w:spacing w:after="110"/>
      </w:pPr>
      <w:r>
        <w:rPr>
          <w:sz w:val="21"/>
          <w:szCs w:val="21"/>
        </w:rPr>
        <w:t xml:space="preserve"/>
      </w:r>
    </w:p>
    <w:p>
      <w:pPr>
        <w:spacing w:after="110"/>
      </w:pPr>
      <w:r>
        <w:rPr>
          <w:sz w:val="21"/>
          <w:szCs w:val="21"/>
        </w:rPr>
        <w:t xml:space="preserve">So a large fraction of the first 200 is already paid for. Past that it is IMDB sweeps, which are the most mechanical work in the project.</w:t>
      </w:r>
    </w:p>
    <w:p>
      <w:pPr>
        <w:spacing w:after="80" w:before="200"/>
      </w:pPr>
      <w:r>
        <w:rPr>
          <w:b/>
          <w:bCs/>
          <w:color w:val="8C3A00"/>
          <w:sz w:val="22"/>
          <w:szCs w:val="22"/>
        </w:rPr>
        <w:t xml:space="preserve">Q5.  </w:t>
      </w:r>
      <w:r>
        <w:rPr>
          <w:b/>
          <w:bCs/>
          <w:sz w:val="22"/>
          <w:szCs w:val="22"/>
        </w:rPr>
        <w:t xml:space="preserve">Is a session of pure tooling acceptable before the volume starts?</w:t>
      </w:r>
    </w:p>
    <w:p>
      <w:pPr>
        <w:spacing w:after="110"/>
      </w:pPr>
      <w:r>
        <w:rPr>
          <w:sz w:val="21"/>
          <w:szCs w:val="21"/>
        </w:rPr>
        <w:t xml:space="preserve">Three things get much more expensive after the corpus triples, and one has already cost two incidents: the loader cannot see the same programme under two ids (it happened with IMDB 1901 and again with 1401, both caught by a human noticing). A programme_id field fixes it. Glob-importing the slice files and a batch adjudication script are the other two.</w:t>
      </w:r>
    </w:p>
    <w:p>
      <w:pPr>
        <w:spacing w:after="100"/>
        <w:ind w:left="280"/>
      </w:pPr>
      <w:r>
        <w:rPr>
          <w:b/>
          <w:bCs/>
          <w:color w:val="444444"/>
          <w:sz w:val="20"/>
          <w:szCs w:val="20"/>
        </w:rPr>
        <w:t xml:space="preserve">My recommendation: </w:t>
      </w:r>
      <w:r>
        <w:rPr>
          <w:color w:val="444444"/>
          <w:sz w:val="20"/>
          <w:szCs w:val="20"/>
        </w:rPr>
        <w:t xml:space="preserve">Yes. Roughly half a session, and Q1, Q3 and the programme_id field can all land in it together.</w:t>
      </w:r>
    </w:p>
    <w:p>
      <w:pPr>
        <w:pBdr>
          <w:bottom w:val="single" w:color="BBBBBB" w:sz="4" w:space="6"/>
        </w:pBdr>
        <w:spacing w:after="220" w:before="60"/>
        <w:ind w:left="280"/>
      </w:pPr>
      <w:r>
        <w:rPr>
          <w:b/>
          <w:bCs/>
          <w:color w:val="1F5C99"/>
          <w:sz w:val="20"/>
          <w:szCs w:val="20"/>
        </w:rPr>
        <w:t xml:space="preserve">Your answer:</w:t>
      </w:r>
      <w:r>
        <w:rPr>
          <w:sz w:val="20"/>
          <w:szCs w:val="20"/>
        </w:rPr>
        <w:t xml:space="preserve">  </w:t>
      </w:r>
    </w:p>
    <w:p>
      <w:pPr>
        <w:spacing w:after="80" w:before="200"/>
      </w:pPr>
      <w:r>
        <w:rPr>
          <w:b/>
          <w:bCs/>
          <w:color w:val="8C3A00"/>
          <w:sz w:val="22"/>
          <w:szCs w:val="22"/>
        </w:rPr>
        <w:t xml:space="preserve">Q6.  </w:t>
      </w:r>
      <w:r>
        <w:rPr>
          <w:b/>
          <w:bCs/>
          <w:sz w:val="22"/>
          <w:szCs w:val="22"/>
        </w:rPr>
        <w:t xml:space="preserve">Does the evidence standard hold at 500, without exception?</w:t>
      </w:r>
    </w:p>
    <w:p>
      <w:pPr>
        <w:spacing w:after="100"/>
        <w:ind w:left="280"/>
      </w:pPr>
      <w:r>
        <w:rPr>
          <w:b/>
          <w:bCs/>
          <w:color w:val="444444"/>
          <w:sz w:val="20"/>
          <w:szCs w:val="20"/>
        </w:rPr>
        <w:t xml:space="preserve">My recommendation: </w:t>
      </w:r>
      <w:r>
        <w:rPr>
          <w:color w:val="444444"/>
          <w:sz w:val="20"/>
          <w:szCs w:val="20"/>
        </w:rPr>
        <w:t xml:space="preserve">It holds. It is the only reason the graph is worth looking at, and V0.11 measured what happens without it — 24 submitted edges, 2 survived, and both were the ones that quoted a document. 500 nodes on paraphrase would be worth less than the 127 we have.</w:t>
      </w:r>
    </w:p>
    <w:p>
      <w:pPr>
        <w:pBdr>
          <w:bottom w:val="single" w:color="BBBBBB" w:sz="4" w:space="6"/>
        </w:pBdr>
        <w:spacing w:after="220" w:before="60"/>
        <w:ind w:left="280"/>
      </w:pPr>
      <w:r>
        <w:rPr>
          <w:b/>
          <w:bCs/>
          <w:color w:val="1F5C99"/>
          <w:sz w:val="20"/>
          <w:szCs w:val="20"/>
        </w:rPr>
        <w:t xml:space="preserve">Your answer:</w:t>
      </w:r>
      <w:r>
        <w:rPr>
          <w:sz w:val="20"/>
          <w:szCs w:val="20"/>
        </w:rPr>
        <w:t xml:space="preserve">  </w:t>
      </w:r>
    </w:p>
    <w:p>
      <w:pPr>
        <w:pStyle w:val="Heading1"/>
        <w:spacing w:after="140" w:before="360"/>
      </w:pPr>
      <w:r>
        <w:t xml:space="preserve">D.  Statutes as nodes — you said worth measuring</w:t>
      </w:r>
    </w:p>
    <w:p>
      <w:pPr>
        <w:spacing w:after="110"/>
      </w:pPr>
      <w:r>
        <w:rPr>
          <w:sz w:val="21"/>
          <w:szCs w:val="21"/>
        </w:rPr>
        <w:t xml:space="preserve">Agreed. The prompting observation is V0.11’s: three separate statutes write in what to do when their own input stops behaving — the CPP Act’s splice clause, the Oil Sands Royalty Regulation providing for the day the Bank of Canada stops publishing an exchange rate, and Ontario’s Assessment Act s. 19.2(5) letting the Minister prescribe a different valuation date, which has held a 2016 valuation date six years past its schedule. The graph cannot show any of it.</w:t>
      </w:r>
    </w:p>
    <w:p>
      <w:pPr>
        <w:spacing w:after="110"/>
      </w:pPr>
      <w:r>
        <w:rPr>
          <w:sz w:val="21"/>
          <w:szCs w:val="21"/>
        </w:rPr>
        <w:t xml:space="preserve">Measuring it means one case, all the way, before deciding — the method that inverted the containment question in V0.11. I would take the Federal-Provincial Fiscal Arrangements Regulations, which are already the evidence_url behind a dozen edges, make the consolidated regulation its own node, and see what happens to the ranking and the bridge count.</w:t>
      </w:r>
    </w:p>
    <w:p>
      <w:pPr>
        <w:spacing w:after="80" w:before="200"/>
      </w:pPr>
      <w:r>
        <w:rPr>
          <w:b/>
          <w:bCs/>
          <w:color w:val="8C3A00"/>
          <w:sz w:val="22"/>
          <w:szCs w:val="22"/>
        </w:rPr>
        <w:t xml:space="preserve">Q7.  </w:t>
      </w:r>
      <w:r>
        <w:rPr>
          <w:b/>
          <w:bCs/>
          <w:sz w:val="22"/>
          <w:szCs w:val="22"/>
        </w:rPr>
        <w:t xml:space="preserve">What is the question you actually want answered — is a statute a node, or is it something else?</w:t>
      </w:r>
    </w:p>
    <w:p>
      <w:pPr>
        <w:spacing w:after="110"/>
      </w:pPr>
      <w:r>
        <w:rPr>
          <w:sz w:val="21"/>
          <w:szCs w:val="21"/>
        </w:rPr>
        <w:t xml:space="preserve">Because there is a third option I would not have thought of without your point about sub-clusters: a statute might be a container rather than a node. part_of already exists and carries no weight. "These nine edges all rest on SOR/2007-303" could be a grouping fact rather than a dependency.</w:t>
      </w:r>
    </w:p>
    <w:p>
      <w:pPr>
        <w:spacing w:after="100"/>
        <w:ind w:left="280"/>
      </w:pPr>
      <w:r>
        <w:rPr>
          <w:b/>
          <w:bCs/>
          <w:color w:val="444444"/>
          <w:sz w:val="20"/>
          <w:szCs w:val="20"/>
        </w:rPr>
        <w:t xml:space="preserve">My recommendation: </w:t>
      </w:r>
      <w:r>
        <w:rPr>
          <w:color w:val="444444"/>
          <w:sz w:val="20"/>
          <w:szCs w:val="20"/>
        </w:rPr>
        <w:t xml:space="preserve">Measure it as a node on the one case, but design the measurement so the container answer is visible too. If making it a node moves the ranking a lot, that is an argument against, not for.</w:t>
      </w:r>
    </w:p>
    <w:p>
      <w:pPr>
        <w:pBdr>
          <w:bottom w:val="single" w:color="BBBBBB" w:sz="4" w:space="6"/>
        </w:pBdr>
        <w:spacing w:after="220" w:before="60"/>
        <w:ind w:left="280"/>
      </w:pPr>
      <w:r>
        <w:rPr>
          <w:b/>
          <w:bCs/>
          <w:color w:val="1F5C99"/>
          <w:sz w:val="20"/>
          <w:szCs w:val="20"/>
        </w:rPr>
        <w:t xml:space="preserve">Your answer:</w:t>
      </w:r>
      <w:r>
        <w:rPr>
          <w:sz w:val="20"/>
          <w:szCs w:val="20"/>
        </w:rPr>
        <w:t xml:space="preserve">  </w:t>
      </w:r>
    </w:p>
    <w:p>
      <w:pPr>
        <w:pStyle w:val="Heading1"/>
        <w:spacing w:after="140" w:before="360"/>
      </w:pPr>
      <w:r>
        <w:t xml:space="preserve">E.  Sub-clusters — your point 4, and the biggest question here</w:t>
      </w:r>
    </w:p>
    <w:p>
      <w:pPr>
        <w:spacing w:after="110"/>
      </w:pPr>
      <w:r>
        <w:rPr>
          <w:sz w:val="21"/>
          <w:szCs w:val="21"/>
        </w:rPr>
        <w:t xml:space="preserve">You said: the main cluster can be expanded so that it is made up of smaller clusters representing relationship. I think you are right and I think this is the thing that makes 500 possible rather than merely survivable. But there is a rule in the way, and it is one of the few rules in REPORTS.md with a real argument behind it:</w:t>
      </w:r>
    </w:p>
    <w:p>
      <w:pPr>
        <w:spacing w:after="130"/>
        <w:ind w:left="280"/>
      </w:pPr>
      <w:r>
        <w:rPr>
          <w:i/>
          <w:iCs/>
          <w:color w:val="555555"/>
          <w:sz w:val="20"/>
          <w:szCs w:val="20"/>
        </w:rPr>
        <w:t xml:space="preserve">"Position encodes only the edges. Nothing about a node’s coordinates may assert a hierarchy the dependency data does not contain." The renderer once pulled nodes to fixed heights by jurisdiction level and it was wrong on its own terms — international bodies consume national statistics, so they are downstream, yet any stack puts them on top, pointing opposite to the flow the graph exists to show.</w:t>
      </w:r>
    </w:p>
    <w:p>
      <w:pPr>
        <w:spacing w:after="110"/>
      </w:pPr>
      <w:r>
        <w:rPr>
          <w:sz w:val="21"/>
          <w:szCs w:val="21"/>
        </w:rPr>
        <w:t xml:space="preserve">The rule forbids asserting structure. It does not forbid computing it. REPORTS.md says so itself: the honest version of a vertical axis is depth in the dependency graph, computed from edges rather than asserted. The same escape works for clustering.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2200"/>
        <w:gridCol w:w="4460"/>
      </w:tblGrid>
      <w:tr>
        <w:tc>
          <w:tcPr>
            <w:tcW w:type="dxa" w:w="2700"/>
            <w:shd w:fill="F2F2F2" w:color="auto" w:val="clear"/>
          </w:tcPr>
          <w:p>
            <w:pPr>
              <w:spacing w:after="40" w:before="40"/>
            </w:pPr>
            <w:r>
              <w:rPr>
                <w:b/>
                <w:bCs/>
                <w:sz w:val="19"/>
                <w:szCs w:val="19"/>
              </w:rPr>
              <w:t xml:space="preserve">How to form clusters</w:t>
            </w:r>
          </w:p>
        </w:tc>
        <w:tc>
          <w:tcPr>
            <w:tcW w:type="dxa" w:w="2200"/>
            <w:shd w:fill="F2F2F2" w:color="auto" w:val="clear"/>
          </w:tcPr>
          <w:p>
            <w:pPr>
              <w:spacing w:after="40" w:before="40"/>
            </w:pPr>
            <w:r>
              <w:rPr>
                <w:b/>
                <w:bCs/>
                <w:sz w:val="19"/>
                <w:szCs w:val="19"/>
              </w:rPr>
              <w:t xml:space="preserve">Legal under the rule?</w:t>
            </w:r>
          </w:p>
        </w:tc>
        <w:tc>
          <w:tcPr>
            <w:tcW w:type="dxa" w:w="4460"/>
            <w:shd w:fill="F2F2F2" w:color="auto" w:val="clear"/>
          </w:tcPr>
          <w:p>
            <w:pPr>
              <w:spacing w:after="40" w:before="40"/>
            </w:pPr>
            <w:r>
              <w:rPr>
                <w:b/>
                <w:bCs/>
                <w:sz w:val="19"/>
                <w:szCs w:val="19"/>
              </w:rPr>
              <w:t xml:space="preserve">What it would show</w:t>
            </w:r>
          </w:p>
        </w:tc>
      </w:tr>
      <w:tr>
        <w:tc>
          <w:tcPr>
            <w:tcW w:type="dxa" w:w="2700"/>
          </w:tcPr>
          <w:p>
            <w:pPr>
              <w:spacing w:after="40" w:before="40"/>
            </w:pPr>
            <w:r>
              <w:rPr>
                <w:b w:val="false"/>
                <w:bCs w:val="false"/>
                <w:sz w:val="19"/>
                <w:szCs w:val="19"/>
              </w:rPr>
              <w:t xml:space="preserve">Community detection on the edge set (Louvain or label propagation)</w:t>
            </w:r>
          </w:p>
        </w:tc>
        <w:tc>
          <w:tcPr>
            <w:tcW w:type="dxa" w:w="2200"/>
          </w:tcPr>
          <w:p>
            <w:pPr>
              <w:spacing w:after="40" w:before="40"/>
            </w:pPr>
            <w:r>
              <w:rPr>
                <w:b w:val="false"/>
                <w:bCs w:val="false"/>
                <w:sz w:val="19"/>
                <w:szCs w:val="19"/>
              </w:rPr>
              <w:t xml:space="preserve">Yes — derived from edges, asserted by nobody</w:t>
            </w:r>
          </w:p>
        </w:tc>
        <w:tc>
          <w:tcPr>
            <w:tcW w:type="dxa" w:w="4460"/>
          </w:tcPr>
          <w:p>
            <w:pPr>
              <w:spacing w:after="40" w:before="40"/>
            </w:pPr>
            <w:r>
              <w:rPr>
                <w:b w:val="false"/>
                <w:bCs w:val="false"/>
                <w:sz w:val="19"/>
                <w:szCs w:val="19"/>
              </w:rPr>
              <w:t xml:space="preserve">Groups that actually cite each other densely. Might not match any category we have names for, which is the interesting part</w:t>
            </w:r>
          </w:p>
        </w:tc>
      </w:tr>
      <w:tr>
        <w:tc>
          <w:tcPr>
            <w:tcW w:type="dxa" w:w="2700"/>
          </w:tcPr>
          <w:p>
            <w:pPr>
              <w:spacing w:after="40" w:before="40"/>
            </w:pPr>
            <w:r>
              <w:rPr>
                <w:b w:val="false"/>
                <w:bCs w:val="false"/>
                <w:sz w:val="19"/>
                <w:szCs w:val="19"/>
              </w:rPr>
              <w:t xml:space="preserve">By domain (17 tags exist)</w:t>
            </w:r>
          </w:p>
        </w:tc>
        <w:tc>
          <w:tcPr>
            <w:tcW w:type="dxa" w:w="2200"/>
          </w:tcPr>
          <w:p>
            <w:pPr>
              <w:spacing w:after="40" w:before="40"/>
            </w:pPr>
            <w:r>
              <w:rPr>
                <w:b w:val="false"/>
                <w:bCs w:val="false"/>
                <w:sz w:val="19"/>
                <w:szCs w:val="19"/>
              </w:rPr>
              <w:t xml:space="preserve">Marginal — the tags are authored by us, not derived</w:t>
            </w:r>
          </w:p>
        </w:tc>
        <w:tc>
          <w:tcPr>
            <w:tcW w:type="dxa" w:w="4460"/>
          </w:tcPr>
          <w:p>
            <w:pPr>
              <w:spacing w:after="40" w:before="40"/>
            </w:pPr>
            <w:r>
              <w:rPr>
                <w:b w:val="false"/>
                <w:bCs w:val="false"/>
                <w:sz w:val="19"/>
                <w:szCs w:val="19"/>
              </w:rPr>
              <w:t xml:space="preserve">Tidy, familiar, and it would reproduce our own filing rather than the corpus’s structure</w:t>
            </w:r>
          </w:p>
        </w:tc>
      </w:tr>
      <w:tr>
        <w:tc>
          <w:tcPr>
            <w:tcW w:type="dxa" w:w="2700"/>
          </w:tcPr>
          <w:p>
            <w:pPr>
              <w:spacing w:after="40" w:before="40"/>
            </w:pPr>
            <w:r>
              <w:rPr>
                <w:b w:val="false"/>
                <w:bCs w:val="false"/>
                <w:sz w:val="19"/>
                <w:szCs w:val="19"/>
              </w:rPr>
              <w:t xml:space="preserve">By publisher or jurisdiction</w:t>
            </w:r>
          </w:p>
        </w:tc>
        <w:tc>
          <w:tcPr>
            <w:tcW w:type="dxa" w:w="2200"/>
          </w:tcPr>
          <w:p>
            <w:pPr>
              <w:spacing w:after="40" w:before="40"/>
            </w:pPr>
            <w:r>
              <w:rPr>
                <w:b w:val="false"/>
                <w:bCs w:val="false"/>
                <w:sz w:val="19"/>
                <w:szCs w:val="19"/>
              </w:rPr>
              <w:t xml:space="preserve">No for jurisdiction; arbitrary for publisher</w:t>
            </w:r>
          </w:p>
        </w:tc>
        <w:tc>
          <w:tcPr>
            <w:tcW w:type="dxa" w:w="4460"/>
          </w:tcPr>
          <w:p>
            <w:pPr>
              <w:spacing w:after="40" w:before="40"/>
            </w:pPr>
            <w:r>
              <w:rPr>
                <w:b w:val="false"/>
                <w:bCs w:val="false"/>
                <w:sz w:val="19"/>
                <w:szCs w:val="19"/>
              </w:rPr>
              <w:t xml:space="preserve">The mistake already made and deleted</w:t>
            </w:r>
          </w:p>
        </w:tc>
      </w:tr>
      <w:tr>
        <w:tc>
          <w:tcPr>
            <w:tcW w:type="dxa" w:w="2700"/>
          </w:tcPr>
          <w:p>
            <w:pPr>
              <w:spacing w:after="40" w:before="40"/>
            </w:pPr>
            <w:r>
              <w:rPr>
                <w:b w:val="false"/>
                <w:bCs w:val="false"/>
                <w:sz w:val="19"/>
                <w:szCs w:val="19"/>
              </w:rPr>
              <w:t xml:space="preserve">By part_of masthead</w:t>
            </w:r>
          </w:p>
        </w:tc>
        <w:tc>
          <w:tcPr>
            <w:tcW w:type="dxa" w:w="2200"/>
          </w:tcPr>
          <w:p>
            <w:pPr>
              <w:spacing w:after="40" w:before="40"/>
            </w:pPr>
            <w:r>
              <w:rPr>
                <w:b w:val="false"/>
                <w:bCs w:val="false"/>
                <w:sz w:val="19"/>
                <w:szCs w:val="19"/>
              </w:rPr>
              <w:t xml:space="preserve">Yes, but only 1 node uses it today</w:t>
            </w:r>
          </w:p>
        </w:tc>
        <w:tc>
          <w:tcPr>
            <w:tcW w:type="dxa" w:w="4460"/>
          </w:tcPr>
          <w:p>
            <w:pPr>
              <w:spacing w:after="40" w:before="40"/>
            </w:pPr>
            <w:r>
              <w:rPr>
                <w:b w:val="false"/>
                <w:bCs w:val="false"/>
                <w:sz w:val="19"/>
                <w:szCs w:val="19"/>
              </w:rPr>
              <w:t xml:space="preserve">Real releases inside real releases. Correct and currently tiny</w:t>
            </w:r>
          </w:p>
        </w:tc>
      </w:tr>
    </w:tbl>
    <w:p>
      <w:pPr>
        <w:spacing w:after="110"/>
      </w:pPr>
      <w:r>
        <w:rPr>
          <w:sz w:val="21"/>
          <w:szCs w:val="21"/>
        </w:rPr>
        <w:t xml:space="preserve"/>
      </w:r>
    </w:p>
    <w:p>
      <w:pPr>
        <w:spacing w:after="80" w:before="200"/>
      </w:pPr>
      <w:r>
        <w:rPr>
          <w:b/>
          <w:bCs/>
          <w:color w:val="8C3A00"/>
          <w:sz w:val="22"/>
          <w:szCs w:val="22"/>
        </w:rPr>
        <w:t xml:space="preserve">Q8.  </w:t>
      </w:r>
      <w:r>
        <w:rPr>
          <w:b/>
          <w:bCs/>
          <w:sz w:val="22"/>
          <w:szCs w:val="22"/>
        </w:rPr>
        <w:t xml:space="preserve">Community detection, or domain grouping?</w:t>
      </w:r>
    </w:p>
    <w:p>
      <w:pPr>
        <w:spacing w:after="100"/>
        <w:ind w:left="280"/>
      </w:pPr>
      <w:r>
        <w:rPr>
          <w:b/>
          <w:bCs/>
          <w:color w:val="444444"/>
          <w:sz w:val="20"/>
          <w:szCs w:val="20"/>
        </w:rPr>
        <w:t xml:space="preserve">My recommendation: </w:t>
      </w:r>
      <w:r>
        <w:rPr>
          <w:color w:val="444444"/>
          <w:sz w:val="20"/>
          <w:szCs w:val="20"/>
        </w:rPr>
        <w:t xml:space="preserve">Community detection for position; domain as a colour or filter overlay on top of it. That way the layout tells you what the documents do, and the tags let you check it against what we expected. If a computed cluster cuts across domains, that is a finding — and it is exactly the kind of thing this graph should be able to surprise you with.</w:t>
      </w:r>
    </w:p>
    <w:p>
      <w:pPr>
        <w:pBdr>
          <w:bottom w:val="single" w:color="BBBBBB" w:sz="4" w:space="6"/>
        </w:pBdr>
        <w:spacing w:after="220" w:before="60"/>
        <w:ind w:left="280"/>
      </w:pPr>
      <w:r>
        <w:rPr>
          <w:b/>
          <w:bCs/>
          <w:color w:val="1F5C99"/>
          <w:sz w:val="20"/>
          <w:szCs w:val="20"/>
        </w:rPr>
        <w:t xml:space="preserve">Your answer:</w:t>
      </w:r>
      <w:r>
        <w:rPr>
          <w:sz w:val="20"/>
          <w:szCs w:val="20"/>
        </w:rPr>
        <w:t xml:space="preserve">  </w:t>
      </w:r>
    </w:p>
    <w:p>
      <w:pPr>
        <w:spacing w:after="80" w:before="200"/>
      </w:pPr>
      <w:r>
        <w:rPr>
          <w:b/>
          <w:bCs/>
          <w:color w:val="8C3A00"/>
          <w:sz w:val="22"/>
          <w:szCs w:val="22"/>
        </w:rPr>
        <w:t xml:space="preserve">Q9.  </w:t>
      </w:r>
      <w:r>
        <w:rPr>
          <w:b/>
          <w:bCs/>
          <w:sz w:val="22"/>
          <w:szCs w:val="22"/>
        </w:rPr>
        <w:t xml:space="preserve">Should clusters be collapsible?</w:t>
      </w:r>
    </w:p>
    <w:p>
      <w:pPr>
        <w:spacing w:after="110"/>
      </w:pPr>
      <w:r>
        <w:rPr>
          <w:sz w:val="21"/>
          <w:szCs w:val="21"/>
        </w:rPr>
        <w:t xml:space="preserve">This is the real scale answer, and it is a much bigger change than a layout tweak. A cluster collapsed to a single node, expandable on click, is what keeps 500 nodes readable — and it is the only proposal here that also fixes the occlusion problem in the dense centre that has been open since V0.5. The cost is that "size = authority" needs a defined meaning for a collapsed group, and I would not want it to be a sum, for the same reason rolledUpAuthority is not a score.</w:t>
      </w:r>
    </w:p>
    <w:p>
      <w:pPr>
        <w:pBdr>
          <w:bottom w:val="single" w:color="BBBBBB" w:sz="4" w:space="6"/>
        </w:pBdr>
        <w:spacing w:after="220" w:before="60"/>
        <w:ind w:left="280"/>
      </w:pPr>
      <w:r>
        <w:rPr>
          <w:b/>
          <w:bCs/>
          <w:color w:val="1F5C99"/>
          <w:sz w:val="20"/>
          <w:szCs w:val="20"/>
        </w:rPr>
        <w:t xml:space="preserve">Your answer:</w:t>
      </w:r>
      <w:r>
        <w:rPr>
          <w:sz w:val="20"/>
          <w:szCs w:val="20"/>
        </w:rPr>
        <w:t xml:space="preserve">  </w:t>
      </w:r>
    </w:p>
    <w:p>
      <w:pPr>
        <w:spacing w:after="80" w:before="200"/>
      </w:pPr>
      <w:r>
        <w:rPr>
          <w:b/>
          <w:bCs/>
          <w:color w:val="8C3A00"/>
          <w:sz w:val="22"/>
          <w:szCs w:val="22"/>
        </w:rPr>
        <w:t xml:space="preserve">Q10.  </w:t>
      </w:r>
      <w:r>
        <w:rPr>
          <w:b/>
          <w:bCs/>
          <w:sz w:val="22"/>
          <w:szCs w:val="22"/>
        </w:rPr>
        <w:t xml:space="preserve">Should cluster boundaries be drawn — hulls, tinting, labels — or only implied by spacing?</w:t>
      </w:r>
    </w:p>
    <w:p>
      <w:pPr>
        <w:spacing w:after="100"/>
        <w:ind w:left="280"/>
      </w:pPr>
      <w:r>
        <w:rPr>
          <w:b/>
          <w:bCs/>
          <w:color w:val="444444"/>
          <w:sz w:val="20"/>
          <w:szCs w:val="20"/>
        </w:rPr>
        <w:t xml:space="preserve">My recommendation: </w:t>
      </w:r>
      <w:r>
        <w:rPr>
          <w:color w:val="444444"/>
          <w:sz w:val="20"/>
          <w:szCs w:val="20"/>
        </w:rPr>
        <w:t xml:space="preserve">Spacing plus a label on hover. Drawn hulls in 3D read as walls and will fight the edges, which are the thing the graph is actually about.</w:t>
      </w:r>
    </w:p>
    <w:p>
      <w:pPr>
        <w:pBdr>
          <w:bottom w:val="single" w:color="BBBBBB" w:sz="4" w:space="6"/>
        </w:pBdr>
        <w:spacing w:after="220" w:before="60"/>
        <w:ind w:left="280"/>
      </w:pPr>
      <w:r>
        <w:rPr>
          <w:b/>
          <w:bCs/>
          <w:color w:val="1F5C99"/>
          <w:sz w:val="20"/>
          <w:szCs w:val="20"/>
        </w:rPr>
        <w:t xml:space="preserve">Your answer:</w:t>
      </w:r>
      <w:r>
        <w:rPr>
          <w:sz w:val="20"/>
          <w:szCs w:val="20"/>
        </w:rPr>
        <w:t xml:space="preserve">  </w:t>
      </w:r>
    </w:p>
    <w:p>
      <w:pPr>
        <w:pStyle w:val="Heading1"/>
        <w:spacing w:after="140" w:before="360"/>
      </w:pPr>
      <w:r>
        <w:t xml:space="preserve">F.  Three judgement calls from this session’s slice</w:t>
      </w:r>
    </w:p>
    <w:p>
      <w:pPr>
        <w:spacing w:after="110"/>
      </w:pPr>
      <w:r>
        <w:rPr>
          <w:sz w:val="21"/>
          <w:szCs w:val="21"/>
        </w:rPr>
        <w:t xml:space="preserve">All three are in the data now, flagged in the slice, and all three are reversible. I would rather you saw them than have them pass silently.</w:t>
      </w:r>
    </w:p>
    <w:p>
      <w:pPr>
        <w:spacing w:after="80" w:before="200"/>
      </w:pPr>
      <w:r>
        <w:rPr>
          <w:b/>
          <w:bCs/>
          <w:color w:val="8C3A00"/>
          <w:sz w:val="22"/>
          <w:szCs w:val="22"/>
        </w:rPr>
        <w:t xml:space="preserve">Q11.  </w:t>
      </w:r>
      <w:r>
        <w:rPr>
          <w:b/>
          <w:bCs/>
          <w:sz w:val="22"/>
          <w:szCs w:val="22"/>
        </w:rPr>
        <w:t xml:space="preserve">The Labour Force Survey → NOC edge rests on "has significant implications for". Keep, or demote to implied?</w:t>
      </w:r>
    </w:p>
    <w:p>
      <w:pPr>
        <w:spacing w:after="110"/>
      </w:pPr>
      <w:r>
        <w:rPr>
          <w:sz w:val="21"/>
          <w:szCs w:val="21"/>
        </w:rPr>
        <w:t xml:space="preserve">The NOC introduction says: "the redesign of the NOC can have significant implications for several Surveys, such as the Labour Force Survey (LFS)". That is a statement that a revision reaches the LFS, not a statement that the LFS uses the NOC. I took it on the precedent of boc-prime-rate → boc-policy-rate, which rests on the Bank’s word "affects" and was accepted on exactly that reasoning. It is the weakest edge in the slice, and it is also the one new bridge.</w:t>
      </w:r>
    </w:p>
    <w:p>
      <w:pPr>
        <w:spacing w:after="100"/>
        <w:ind w:left="280"/>
      </w:pPr>
      <w:r>
        <w:rPr>
          <w:b/>
          <w:bCs/>
          <w:color w:val="444444"/>
          <w:sz w:val="20"/>
          <w:szCs w:val="20"/>
        </w:rPr>
        <w:t xml:space="preserve">My recommendation: </w:t>
      </w:r>
      <w:r>
        <w:rPr>
          <w:color w:val="444444"/>
          <w:sz w:val="20"/>
          <w:szCs w:val="20"/>
        </w:rPr>
        <w:t xml:space="preserve">Keep it, and close it properly — the clean version is a passage in the LFS’s own documentation saying it codes occupation to NOC. Record 3701’s Data sources section names nothing at all, so it is elsewhere on the site.</w:t>
      </w:r>
    </w:p>
    <w:p>
      <w:pPr>
        <w:pBdr>
          <w:bottom w:val="single" w:color="BBBBBB" w:sz="4" w:space="6"/>
        </w:pBdr>
        <w:spacing w:after="220" w:before="60"/>
        <w:ind w:left="280"/>
      </w:pPr>
      <w:r>
        <w:rPr>
          <w:b/>
          <w:bCs/>
          <w:color w:val="1F5C99"/>
          <w:sz w:val="20"/>
          <w:szCs w:val="20"/>
        </w:rPr>
        <w:t xml:space="preserve">Your answer:</w:t>
      </w:r>
      <w:r>
        <w:rPr>
          <w:sz w:val="20"/>
          <w:szCs w:val="20"/>
        </w:rPr>
        <w:t xml:space="preserve">  </w:t>
      </w:r>
    </w:p>
    <w:p>
      <w:pPr>
        <w:spacing w:after="80" w:before="200"/>
      </w:pPr>
      <w:r>
        <w:rPr>
          <w:b/>
          <w:bCs/>
          <w:color w:val="8C3A00"/>
          <w:sz w:val="22"/>
          <w:szCs w:val="22"/>
        </w:rPr>
        <w:t xml:space="preserve">Q12.  </w:t>
      </w:r>
      <w:r>
        <w:rPr>
          <w:b/>
          <w:bCs/>
          <w:sz w:val="22"/>
          <w:szCs w:val="22"/>
        </w:rPr>
        <w:t xml:space="preserve">A new corpus rule: an IMDB page can describe a dead arrangement in the same register as a live one.</w:t>
      </w:r>
    </w:p>
    <w:p>
      <w:pPr>
        <w:spacing w:after="110"/>
      </w:pPr>
      <w:r>
        <w:rPr>
          <w:sz w:val="21"/>
          <w:szCs w:val="21"/>
        </w:rPr>
        <w:t xml:space="preserve">Record 2101 says "Up to and including 2003, the MSM was benchmarked to the Annual Survey of Manufactures and Logging". Taking that quote as a basis would have put a twenty-two-year-dead arrangement into the graph as a live dependency, and nothing in the extraction format would have flagged it — the quote is verbatim and correctly located. The edge exists on other evidence, from the annual survey’s own present-tense sentence. Tense was the only signal.</w:t>
      </w:r>
    </w:p>
    <w:p>
      <w:pPr>
        <w:spacing w:after="100"/>
        <w:ind w:left="280"/>
      </w:pPr>
      <w:r>
        <w:rPr>
          <w:b/>
          <w:bCs/>
          <w:color w:val="444444"/>
          <w:sz w:val="20"/>
          <w:szCs w:val="20"/>
        </w:rPr>
        <w:t xml:space="preserve">My recommendation: </w:t>
      </w:r>
      <w:r>
        <w:rPr>
          <w:color w:val="444444"/>
          <w:sz w:val="20"/>
          <w:szCs w:val="20"/>
        </w:rPr>
        <w:t xml:space="preserve">Add it to the corpus notes in REPORTS.md. It is a new error class and it is going to recur across hundreds of IMDB pages.</w:t>
      </w:r>
    </w:p>
    <w:p>
      <w:pPr>
        <w:pBdr>
          <w:bottom w:val="single" w:color="BBBBBB" w:sz="4" w:space="6"/>
        </w:pBdr>
        <w:spacing w:after="220" w:before="60"/>
        <w:ind w:left="280"/>
      </w:pPr>
      <w:r>
        <w:rPr>
          <w:b/>
          <w:bCs/>
          <w:color w:val="1F5C99"/>
          <w:sz w:val="20"/>
          <w:szCs w:val="20"/>
        </w:rPr>
        <w:t xml:space="preserve">Your answer:</w:t>
      </w:r>
      <w:r>
        <w:rPr>
          <w:sz w:val="20"/>
          <w:szCs w:val="20"/>
        </w:rPr>
        <w:t xml:space="preserve">  </w:t>
      </w:r>
    </w:p>
    <w:p>
      <w:pPr>
        <w:spacing w:after="80" w:before="200"/>
      </w:pPr>
      <w:r>
        <w:rPr>
          <w:b/>
          <w:bCs/>
          <w:color w:val="8C3A00"/>
          <w:sz w:val="22"/>
          <w:szCs w:val="22"/>
        </w:rPr>
        <w:t xml:space="preserve">Q13.  </w:t>
      </w:r>
      <w:r>
        <w:rPr>
          <w:b/>
          <w:bCs/>
          <w:sz w:val="22"/>
          <w:szCs w:val="22"/>
        </w:rPr>
        <w:t xml:space="preserve">The Supply and Use Product Classification — create it on partial facts, or leave it as a lead?</w:t>
      </w:r>
    </w:p>
    <w:p>
      <w:pPr>
        <w:spacing w:after="110"/>
      </w:pPr>
      <w:r>
        <w:rPr>
          <w:sz w:val="21"/>
          <w:szCs w:val="21"/>
        </w:rPr>
        <w:t xml:space="preserve">It is the node that would connect NAPCS to the accounts, and NAPCS states both halves: the SUPC "is the basis for the commodity accounts", and it "has been integrated into NAPCS Canada at the class level (5-digit)". That is a dependency plus a containment, and it would be the second use of part_of and the first between two classifications. What is missing is publication facts — no title page, publisher or revision cadence, and I was not willing to invent a URL. Left as a lead.</w:t>
      </w:r>
    </w:p>
    <w:p>
      <w:pPr>
        <w:pBdr>
          <w:bottom w:val="single" w:color="BBBBBB" w:sz="4" w:space="6"/>
        </w:pBdr>
        <w:spacing w:after="220" w:before="60"/>
        <w:ind w:left="280"/>
      </w:pPr>
      <w:r>
        <w:rPr>
          <w:b/>
          <w:bCs/>
          <w:color w:val="1F5C99"/>
          <w:sz w:val="20"/>
          <w:szCs w:val="20"/>
        </w:rPr>
        <w:t xml:space="preserve">Your answer:</w:t>
      </w:r>
      <w:r>
        <w:rPr>
          <w:sz w:val="20"/>
          <w:szCs w:val="20"/>
        </w:rPr>
        <w:t xml:space="preserve">  </w:t>
      </w:r>
    </w:p>
    <w:p>
      <w:pPr>
        <w:pStyle w:val="Heading1"/>
        <w:spacing w:after="140" w:before="360"/>
      </w:pPr>
      <w:r>
        <w:t xml:space="preserve">G.  Anything you want to tell me that I have not asked about</w:t>
      </w:r>
    </w:p>
    <w:p>
      <w:pPr>
        <w:spacing w:after="110"/>
      </w:pPr>
      <w:r>
        <w:rPr>
          <w:sz w:val="21"/>
          <w:szCs w:val="21"/>
        </w:rPr>
        <w:t xml:space="preserve">Particularly: is there a question the graph should be able to answer that it currently cannot? Every good decision in this project so far came from one of those — the commercial-source rule came from "what would break if this changed" being silent on an entire CPI component coming from one company.</w:t>
      </w:r>
    </w:p>
    <w:p>
      <w:pPr>
        <w:pBdr>
          <w:bottom w:val="single" w:color="BBBBBB" w:sz="4" w:space="6"/>
        </w:pBdr>
        <w:spacing w:after="220" w:before="60"/>
        <w:ind w:left="280"/>
      </w:pPr>
      <w:r>
        <w:rPr>
          <w:b/>
          <w:bCs/>
          <w:color w:val="1F5C99"/>
          <w:sz w:val="20"/>
          <w:szCs w:val="20"/>
        </w:rPr>
        <w:t xml:space="preserve">Your answer:</w:t>
      </w:r>
      <w:r>
        <w:rPr>
          <w:sz w:val="20"/>
          <w:szCs w:val="20"/>
        </w:rPr>
        <w:t xml:space="preserve">  </w:t>
      </w:r>
    </w:p>
    <w:p>
      <w:pPr>
        <w:pBdr>
          <w:bottom w:val="single" w:color="BBBBBB" w:sz="4" w:space="6"/>
        </w:pBdr>
        <w:spacing w:after="220" w:before="60"/>
        <w:ind w:left="280"/>
      </w:pPr>
      <w:r>
        <w:rPr>
          <w:b/>
          <w:bCs/>
          <w:color w:val="1F5C99"/>
          <w:sz w:val="20"/>
          <w:szCs w:val="20"/>
        </w:rPr>
        <w:t xml:space="preserve">Your answer:</w:t>
      </w:r>
      <w:r>
        <w:rPr>
          <w:sz w:val="20"/>
          <w:szCs w:val="20"/>
        </w:rPr>
        <w:t xml:space="preserve">  </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2026-07-30T08:49:02.894Z</dcterms:created>
  <dcterms:modified xsi:type="dcterms:W3CDTF">2026-07-30T08:49:02.894Z</dcterms:modified>
</cp:coreProperties>
</file>

<file path=docProps/custom.xml><?xml version="1.0" encoding="utf-8"?>
<Properties xmlns="http://schemas.openxmlformats.org/officeDocument/2006/custom-properties" xmlns:vt="http://schemas.openxmlformats.org/officeDocument/2006/docPropsVTypes"/>
</file>