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2"/>
        </w:rPr>
        <w:t>Open Questions — Reports Clustering (sweep session)</w:t>
      </w:r>
    </w:p>
    <w:p>
      <w:r>
        <w:rPr>
          <w:sz w:val="22"/>
        </w:rPr>
        <w:t>2026-08-08</w:t>
      </w:r>
    </w:p>
    <w:p>
      <w:r>
        <w:rPr>
          <w:sz w:val="22"/>
        </w:rPr>
        <w:t>Everything below came up during today's three-pair pass on the corpus-wide _dropped sweep (equalization pair, EDP inventory + esa-2010, nz/au government finance). None of it blocked the work — each item is reported and left open per the project's usual extract-don't-adjudicate rule, not because anything broke. A few sentences of context on each so you don't have to go find the file it came from.</w:t>
      </w:r>
    </w:p>
    <w:p>
      <w:pPr>
        <w:pStyle w:val="Heading1"/>
      </w:pPr>
      <w:r>
        <w:rPr>
          <w:sz w:val="22"/>
        </w:rPr>
        <w:t>Decisions needed</w:t>
      </w:r>
    </w:p>
    <w:p>
      <w:pPr>
        <w:pStyle w:val="Heading2"/>
      </w:pPr>
      <w:r>
        <w:rPr>
          <w:sz w:val="22"/>
        </w:rPr>
        <w:t>1. The System of Macroeconomic Accounts — should a framework without its own release ever be a node?</w:t>
      </w:r>
    </w:p>
    <w:p>
      <w:r>
        <w:rPr>
          <w:sz w:val="22"/>
        </w:rPr>
        <w:t>The Territorial Formula Financing and Equalization regulations both define a revenue term by pointing at Statistics Canada's “System of Macroeconomic Accounts” — the accounting framework, not a titled publication. The graph's rule is that a node needs a title and a cadence, and a framework name isn't either of those. The current edge points at a specific quarterly release (the income-based national accounts) as the best guess for what the statute actually means — which is an inference, stated as one in the file, not a quotation.</w:t>
      </w:r>
    </w:p>
    <w:p>
      <w:r>
        <w:rPr>
          <w:sz w:val="22"/>
        </w:rPr>
        <w:t>The same shape of question already came up for the German GNI/QNA methods inventories (question 2, below) and for the EU's ESA 2010 quality-reporting framework in an earlier session, and it keeps not getting a general answer.</w:t>
      </w:r>
    </w:p>
    <w:p>
      <w:r>
        <w:rPr>
          <w:sz w:val="22"/>
        </w:rPr>
        <w:t>The question: should this stay an inference-only edge, should the framework itself ever get a node, or should it be dropped as unresolvable?</w:t>
      </w:r>
    </w:p>
    <w:p>
      <w:pPr>
        <w:pStyle w:val="ListBullet"/>
      </w:pPr>
      <w:r>
        <w:rPr>
          <w:sz w:val="22"/>
        </w:rPr>
        <w:t>Leave as is — keep the inference-only edge to the specific release, flagged as inference in the edge's own basis.</w:t>
      </w:r>
    </w:p>
    <w:p>
      <w:pPr>
        <w:pStyle w:val="ListBullet"/>
      </w:pPr>
      <w:r>
        <w:rPr>
          <w:sz w:val="22"/>
        </w:rPr>
        <w:t>Mint a node for the framework itself, with no releases_per_year (an evergreen reference, like the one-off foundational instruments already in the corpus).</w:t>
      </w:r>
    </w:p>
    <w:p>
      <w:pPr>
        <w:pStyle w:val="ListBullet"/>
      </w:pPr>
      <w:r>
        <w:rPr>
          <w:sz w:val="22"/>
        </w:rPr>
        <w:t>Drop the edge — a framework name isn't a strong enough citation to support a calculated_from edge at all.</w:t>
      </w:r>
    </w:p>
    <w:p>
      <w:r>
        <w:rPr>
          <w:sz w:val="22"/>
        </w:rPr>
        <w:t>My read: this is really the same question as question 2, just with a different instrument. An answer to one probably answers both, so it may be worth ruling on them together rather than separately.</w:t>
      </w:r>
    </w:p>
    <w:p>
      <w:pPr>
        <w:pStyle w:val="Heading2"/>
      </w:pPr>
      <w:r>
        <w:rPr>
          <w:sz w:val="22"/>
        </w:rPr>
        <w:t>2. Germany's GNI/QNA methods inventories — is “non-recurring” a real disqualifier?</w:t>
      </w:r>
    </w:p>
    <w:p>
      <w:r>
        <w:rPr>
          <w:sz w:val="22"/>
        </w:rPr>
        <w:t>Two Destatis documents describe how Germany calculates GDP/GNI under the EU's ESA 2010 rules. Both would be useful nodes — they're the clearest documented link from a German publication back to the EU standard. But the GNI one's own colophon says “Periodicity: non-recurring,” which is this project's own stated disqualifier for a one-off document. The same document, though, has a section headed “Revisions policy and major revisions since the 2021 inventory” — so a 2021 edition and this 2025 one demonstrably both exist, four years apart.</w:t>
      </w:r>
    </w:p>
    <w:p>
      <w:r>
        <w:rPr>
          <w:sz w:val="22"/>
        </w:rPr>
        <w:t>The question: is “non-recurring” Destatis's way of saying “this isn't a scheduled series release” (a metadata label, not a promise there'll never be another one), or is it a real disqualifier that should keep both inventories out of the graph regardless of the demonstrated four-year interval?</w:t>
      </w:r>
    </w:p>
    <w:p>
      <w:pPr>
        <w:pStyle w:val="ListBullet"/>
      </w:pPr>
      <w:r>
        <w:rPr>
          <w:sz w:val="22"/>
        </w:rPr>
        <w:t>Treat “non-recurring” as a metadata artifact — mint both inventories, using the observed ~4-year interval (releases_per_year ≈ 0.25).</w:t>
      </w:r>
    </w:p>
    <w:p>
      <w:pPr>
        <w:pStyle w:val="ListBullet"/>
      </w:pPr>
      <w:r>
        <w:rPr>
          <w:sz w:val="22"/>
        </w:rPr>
        <w:t>Treat “non-recurring” as a hard disqualifier — leave both unminted regardless of the predecessor edition.</w:t>
      </w:r>
    </w:p>
    <w:p>
      <w:pPr>
        <w:pStyle w:val="ListBullet"/>
      </w:pPr>
      <w:r>
        <w:rPr>
          <w:sz w:val="22"/>
        </w:rPr>
        <w:t>Wait for a third edition to appear before ruling either way — not enough of a pattern yet with just two data points.</w:t>
      </w:r>
    </w:p>
    <w:p>
      <w:r>
        <w:rPr>
          <w:sz w:val="22"/>
        </w:rPr>
        <w:t>My read: no strong recommendation here — it genuinely reads either way, which is why it's been left open across two sessions rather than guessed at.</w:t>
      </w:r>
    </w:p>
    <w:p>
      <w:pPr>
        <w:pStyle w:val="Heading2"/>
      </w:pPr>
      <w:r>
        <w:rPr>
          <w:sz w:val="22"/>
        </w:rPr>
        <w:t>3. New Zealand’s Local Government Act 2002 — mint it now, or keep deferring?</w:t>
      </w:r>
    </w:p>
    <w:p>
      <w:r>
        <w:rPr>
          <w:sz w:val="22"/>
        </w:rPr>
        <w:t>This Act is cited constantly across the New Zealand slice — well over a hundred times inside just one other Act (LGACA 2009) that itself depends on it — but it has never been its own node. Every existing edge cites a specific section of it as the reason for some other node's dependency, rather than treating the Act itself as a document in the graph.</w:t>
      </w:r>
    </w:p>
    <w:p>
      <w:r>
        <w:rPr>
          <w:sz w:val="22"/>
        </w:rPr>
        <w:t>This is the same shape of decision the Public Finance Act 1989 was before you decided to mint it on 2026-08-07 with no cap on same-session edges — except this one is bigger: it would sit under a very large fraction of the New Zealand slice at once (every territorial-authority node in the corpus, at minimum), not just a handful of federal-finance documents.</w:t>
      </w:r>
    </w:p>
    <w:p>
      <w:r>
        <w:rPr>
          <w:sz w:val="22"/>
        </w:rPr>
        <w:t>The question: mint it now, following the Public Finance Act 1989 precedent, or keep deferring it?</w:t>
      </w:r>
    </w:p>
    <w:p>
      <w:pPr>
        <w:pStyle w:val="ListBullet"/>
      </w:pPr>
      <w:r>
        <w:rPr>
          <w:sz w:val="22"/>
        </w:rPr>
        <w:t>Mint it now, no cap on edges — same treatment as the Public Finance Act 1989.</w:t>
      </w:r>
    </w:p>
    <w:p>
      <w:pPr>
        <w:pStyle w:val="ListBullet"/>
      </w:pPr>
      <w:r>
        <w:rPr>
          <w:sz w:val="22"/>
        </w:rPr>
        <w:t>Mint it now, but cap the first session's edges to a small starter set and let a later session expand it.</w:t>
      </w:r>
    </w:p>
    <w:p>
      <w:pPr>
        <w:pStyle w:val="ListBullet"/>
      </w:pPr>
      <w:r>
        <w:rPr>
          <w:sz w:val="22"/>
        </w:rPr>
        <w:t>Keep deferring — it's too central to take on as a side task; it deserves its own dedicated session.</w:t>
      </w:r>
    </w:p>
    <w:p>
      <w:r>
        <w:rPr>
          <w:sz w:val="22"/>
        </w:rPr>
        <w:t>My read: the Public Finance Act 1989 precedent points toward minting it, but given how much of the slice it would touch, it's worth a deliberate yes rather than an inferred one.</w:t>
      </w:r>
    </w:p>
    <w:p>
      <w:pPr>
        <w:pStyle w:val="Heading2"/>
      </w:pPr>
      <w:r>
        <w:rPr>
          <w:sz w:val="22"/>
        </w:rPr>
        <w:t>4. The Canada/federal equalization work has no branch folder — should it get one?</w:t>
      </w:r>
    </w:p>
    <w:p>
      <w:r>
        <w:rPr>
          <w:sz w:val="22"/>
        </w:rPr>
        <w:t>EU, AU and NZ each have their own folder (EU/, AU/, NZ/) with a numbered G.&lt;n&gt;.md hand-off series. The Canada/federal fiscal-transfer work — Equalization, Territorial Formula Financing, and the StatCan data chains behind both — has grown into real, substantial research (a fourth major federal transfer minted this session, four new StatCan nodes, nine new edges) but has no branch home at all. It currently only gets tracked in the shared planning files (OPEN-THREADS, MISSION-TODO-2), which work fine as a log but don't give it the same per-branch continuity (an Orientation section, a numbered priority list, a hand-off chain a fresh agent can follow) that EU/AU/NZ get automatically.</w:t>
      </w:r>
    </w:p>
    <w:p>
      <w:r>
        <w:rPr>
          <w:sz w:val="22"/>
        </w:rPr>
        <w:t>The question: start a Canada/federal branch folder with its own hand-off series, or keep tracking this work in the shared planning docs as before?</w:t>
      </w:r>
    </w:p>
    <w:p>
      <w:pPr>
        <w:pStyle w:val="ListBullet"/>
      </w:pPr>
      <w:r>
        <w:rPr>
          <w:sz w:val="22"/>
        </w:rPr>
        <w:t>Start a branch — e.g. a folder with its own G.1.md, parallel to EU/AU/NZ.</w:t>
      </w:r>
    </w:p>
    <w:p>
      <w:pPr>
        <w:pStyle w:val="ListBullet"/>
      </w:pPr>
      <w:r>
        <w:rPr>
          <w:sz w:val="22"/>
        </w:rPr>
        <w:t>Keep as-is — tracked in planning/ only; not worth a fourth branch for one recurring file pair.</w:t>
      </w:r>
    </w:p>
    <w:p>
      <w:r>
        <w:rPr>
          <w:sz w:val="22"/>
        </w:rPr>
        <w:t>My read: it's a genuine judgment call about how much structure this corner of the project needs, not something I should decide by extending the branch convention on my own initiative.</w:t>
      </w:r>
    </w:p>
    <w:p>
      <w:pPr>
        <w:pStyle w:val="Heading1"/>
      </w:pPr>
      <w:r>
        <w:rPr>
          <w:sz w:val="22"/>
        </w:rPr>
        <w:t>Quick glossary — no action needed, just context</w:t>
      </w:r>
    </w:p>
    <w:p>
      <w:r>
        <w:rPr>
          <w:sz w:val="22"/>
        </w:rPr>
        <w:t>“Cross-file staleness” — a _dropped entry in one file says a lead is still open, but a sibling file already resolved the same underlying fact under a different id, and the first file's own bookkeeping was never updated to say so. Found three times today (two Canada files, one EU file) and corrected each time it turned up — nothing left stale from this session's own work.</w:t>
      </w:r>
    </w:p>
    <w:p>
      <w:r>
        <w:rPr>
          <w:sz w:val="22"/>
        </w:rPr>
        <w:t>“Isolated node, fed-h15-style” — a report that's minted and correct but has no edge yet, because the document that would name it as an input isn't itself a node yet. Several new nodes this session are in this state — not a problem, just unfinished, and each one's _dropped entry says exactly what's still missing.</w:t>
      </w:r>
    </w:p>
    <w:p>
      <w:r>
        <w:rPr>
          <w:sz w:val="22"/>
        </w:rPr>
        <w:t>“Hand-off files (G.&lt;n&gt;.md)” — the end-of-session write-up each session leaves for the next one. Three new ones this session: EU/G.57.md, AU/G.4.md, NZ/G.6.md.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