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.11.md-eu-galaxy-hand-off"/>
    <w:p>
      <w:pPr>
        <w:pStyle w:val="Heading1"/>
      </w:pPr>
      <w:r>
        <w:t xml:space="preserve">G.11.md – EU galaxy hand-off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2026-08-03</w:t>
      </w:r>
      <w:r>
        <w:t xml:space="preserve"> </w:t>
      </w:r>
      <w:r>
        <w:rPr>
          <w:bCs/>
          <w:b/>
        </w:rPr>
        <w:t xml:space="preserve">Governing briefs</w:t>
      </w:r>
      <w:r>
        <w:t xml:space="preserve">: Research.EU.md v0.1 (fixed) + Research.2.md v2.1 (fixed) +</w:t>
      </w:r>
      <w:r>
        <w:t xml:space="preserve"> </w:t>
      </w:r>
      <w:r>
        <w:rPr>
          <w:bCs/>
          <w:b/>
        </w:rPr>
        <w:t xml:space="preserve">Research.3.md (new — read this one too, in that order)</w:t>
      </w:r>
    </w:p>
    <w:p>
      <w:pPr>
        <w:pStyle w:val="BlockText"/>
      </w:pPr>
      <w:r>
        <w:t xml:space="preserve">THOMAS DECISION (2026-08-03): ECB-galaxy stop-condition lift (first recorded in G.04) confirmed as authorized verbally at the time — ratified in writing in Research.3.md §1.</w:t>
      </w:r>
      <w:r>
        <w:t xml:space="preserve"> </w:t>
      </w:r>
      <w:r>
        <w:t xml:space="preserve">THOMAS DECISION (2026-08-03): project goal amended from pure fragility-map to</w:t>
      </w:r>
      <w:r>
        <w:t xml:space="preserve"> </w:t>
      </w:r>
      <w:r>
        <w:rPr>
          <w:bCs/>
          <w:b/>
        </w:rPr>
        <w:t xml:space="preserve">financial model</w:t>
      </w:r>
      <w:r>
        <w:t xml:space="preserve"> </w:t>
      </w:r>
      <w:r>
        <w:t xml:space="preserve">built on the existing graph — see Research.3.md §2 for the practical extraction implication (extract full parameter values/formulas going forward, not just enough to prove an edge).</w:t>
      </w:r>
    </w:p>
    <w:p>
      <w:pPr>
        <w:pStyle w:val="FirstParagraph"/>
      </w:pPr>
      <w:r>
        <w:rPr>
          <w:bCs/>
          <w:b/>
        </w:rPr>
        <w:t xml:space="preserve">Stop conditions (unchanged and mandatory)</w:t>
      </w:r>
      <w:r>
        <w:t xml:space="preserve">:</w:t>
      </w:r>
      <w:r>
        <w:t xml:space="preserve"> </w:t>
      </w:r>
      <w:r>
        <w:t xml:space="preserve">- No second Member-State NSI methodology (Destatis remains the sole NSI opened).</w:t>
      </w:r>
      <w:r>
        <w:t xml:space="preserve"> </w:t>
      </w:r>
      <w:r>
        <w:t xml:space="preserve">- No municipal / local layer.</w:t>
      </w:r>
      <w:r>
        <w:t xml:space="preserve"> </w:t>
      </w:r>
      <w:r>
        <w:t xml:space="preserve">- ECB / Eurosystem monetary-policy, collateral, haircut, variation-margin, open-market-instrument material may continue to be deepened — confirmed authorized, see decision block above.</w:t>
      </w:r>
      <w:r>
        <w:t xml:space="preserve"> </w:t>
      </w:r>
      <w:r>
        <w:t xml:space="preserve">- Expansion to ISTAT, INSEE, Statistics Denmark, Banque de France statistical side, or any other national statistical institute is forbidden until an explicit new governing brief lifts the stop.</w:t>
      </w:r>
    </w:p>
    <w:p>
      <w:pPr>
        <w:pStyle w:val="BodyText"/>
      </w:pPr>
      <w:r>
        <w:rPr>
          <w:bCs/>
          <w:b/>
        </w:rPr>
        <w:t xml:space="preserve">Completed this session window</w:t>
      </w:r>
      <w:r>
        <w:t xml:space="preserve">:</w:t>
      </w:r>
      <w:r>
        <w:t xml:space="preserve"> </w:t>
      </w:r>
      <w:r>
        <w:t xml:space="preserve">- Climate-factor edge case (carried since G.09): checked exhaustively against the current consolidated Guideline (EU) 2016/65 (haircut framework, in force to 30.03.2026) — full Annex (Tables 1–4) and operative articles searched for</w:t>
      </w:r>
      <w:r>
        <w:t xml:space="preserve"> </w:t>
      </w:r>
      <w:r>
        <w:t xml:space="preserve">“</w:t>
      </w:r>
      <w:r>
        <w:t xml:space="preserve">climate,</w:t>
      </w:r>
      <w:r>
        <w:t xml:space="preserve">”</w:t>
      </w:r>
      <w:r>
        <w:t xml:space="preserve"> </w:t>
      </w:r>
      <w:r>
        <w:t xml:space="preserve">“</w:t>
      </w:r>
      <w:r>
        <w:t xml:space="preserve">environmental,</w:t>
      </w:r>
      <w:r>
        <w:t xml:space="preserve">”</w:t>
      </w:r>
      <w:r>
        <w:t xml:space="preserve"> </w:t>
      </w:r>
      <w:r>
        <w:t xml:space="preserve">“</w:t>
      </w:r>
      <w:r>
        <w:t xml:space="preserve">green,</w:t>
      </w:r>
      <w:r>
        <w:t xml:space="preserve">”</w:t>
      </w:r>
      <w:r>
        <w:t xml:space="preserve"> </w:t>
      </w:r>
      <w:r>
        <w:t xml:space="preserve">“</w:t>
      </w:r>
      <w:r>
        <w:t xml:space="preserve">sustainab</w:t>
      </w:r>
      <w:r>
        <w:rPr>
          <w:iCs/>
          <w:i/>
        </w:rPr>
        <w:t xml:space="preserve">”.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NOT FOUND.</w:t>
      </w:r>
      <w:r>
        <w:rPr>
          <w:iCs/>
          <w:i/>
        </w:rPr>
        <w:t xml:space="preserve"> </w:t>
      </w:r>
      <w:r>
        <w:rPr>
          <w:iCs/>
          <w:i/>
        </w:rPr>
        <w:t xml:space="preserve">Combined with last session’s NOT FOUND in 2015/510 itself, this edge case is not resolved by either of the two obvious ECB documents. Recommend next agent check ECB decisions on climate-related disclosure as a</w:t>
      </w:r>
      <w:r>
        <w:rPr>
          <w:iCs/>
          <w:i/>
        </w:rPr>
        <w:t xml:space="preserve"> </w:t>
      </w:r>
      <w:r>
        <w:t xml:space="preserve">corporate-bond eligibility* condition (separate from the haircut mechanism) rather than keep re-checking these two.</w:t>
      </w:r>
      <w:r>
        <w:t xml:space="preserve"> </w:t>
      </w:r>
      <w:r>
        <w:t xml:space="preserve">- Decided (not yet extracted): Guideline (EU) 2022/912 (ECB/2022/8, TARGET Guideline) will be opened as a node. It is not a new-country/NSI/municipal expansion, so it does not require a fresh go-ahead under current stop conditions, and it is already load-bearing for standing-facility mechanics extracted in the prior session (cut-off times, business-day rules, Appendix V references).</w:t>
      </w:r>
      <w:r>
        <w:t xml:space="preserve"> </w:t>
      </w:r>
      <w:r>
        <w:t xml:space="preserve">- Wrote Research.3.md: ratifies the G.04 stop-condition lift, formally amends project goal to</w:t>
      </w:r>
      <w:r>
        <w:t xml:space="preserve">”</w:t>
      </w:r>
      <w:r>
        <w:t xml:space="preserve">financial model,” establishes the THOMAS DECISION block convention (§3), and logs the confirmed-lost G.01/G.05 gap (§4) so it stops being flagged as an open question.</w:t>
      </w:r>
    </w:p>
    <w:p>
      <w:pPr>
        <w:pStyle w:val="BodyText"/>
      </w:pPr>
      <w:r>
        <w:rPr>
          <w:bCs/>
          <w:b/>
        </w:rPr>
        <w:t xml:space="preserve">Rolling edge-case list</w:t>
      </w:r>
      <w:r>
        <w:t xml:space="preserve"> </w:t>
      </w:r>
      <w:r>
        <w:t xml:space="preserve">(carry forward):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comparable with</w:t>
      </w:r>
      <w:r>
        <w:t xml:space="preserve">”</w:t>
      </w:r>
      <w:r>
        <w:t xml:space="preserve"> </w:t>
      </w:r>
      <w:r>
        <w:t xml:space="preserve">/ non-dependency language.</w:t>
      </w:r>
      <w:r>
        <w:t xml:space="preserve"> </w:t>
      </w:r>
      <w:r>
        <w:t xml:space="preserve">- Cash vs accrual.</w:t>
      </w:r>
      <w:r>
        <w:t xml:space="preserve"> </w:t>
      </w:r>
      <w:r>
        <w:t xml:space="preserve">- Climate-factor adjustments — NOT FOUND in 2015/510 or 2016/65 (see above). Redirect: check climate-disclosure-based eligibility decisions instead of haircut mechanism.</w:t>
      </w:r>
      <w:r>
        <w:t xml:space="preserve"> </w:t>
      </w:r>
      <w:r>
        <w:t xml:space="preserve">- Any national documentation that merely transposes Eurosystem tables.</w:t>
      </w:r>
      <w:r>
        <w:t xml:space="preserve"> </w:t>
      </w:r>
      <w:r>
        <w:t xml:space="preserve">- Annex I (</w:t>
      </w:r>
      <w:r>
        <w:t xml:space="preserve">“</w:t>
      </w:r>
      <w:r>
        <w:t xml:space="preserve">Minimum reserves</w:t>
      </w:r>
      <w:r>
        <w:t xml:space="preserve">”</w:t>
      </w:r>
      <w:r>
        <w:t xml:space="preserve">) of 2015/510 — untretrieved (page truncated before Annexes last session); Art. 3(2) already states it’s informational-only, real source is Reg. 2531/98 / 2021/378.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Documentation relating to the TARGET framework</w:t>
      </w:r>
      <w:r>
        <w:t xml:space="preserve">”</w:t>
      </w:r>
      <w:r>
        <w:t xml:space="preserve"> </w:t>
      </w:r>
      <w:r>
        <w:t xml:space="preserve">(2015/510 Art. 53(2)) — named but untitled; candidate</w:t>
      </w:r>
      <w:r>
        <w:t xml:space="preserve"> </w:t>
      </w:r>
      <w:r>
        <w:rPr>
          <w:rStyle w:val="VerbatimChar"/>
        </w:rPr>
        <w:t xml:space="preserve">unidentified</w:t>
      </w:r>
      <w:r>
        <w:t xml:space="preserve"> </w:t>
      </w:r>
      <w:r>
        <w:t xml:space="preserve">terminus pending a specific title.</w:t>
      </w:r>
    </w:p>
    <w:p>
      <w:pPr>
        <w:pStyle w:val="BodyText"/>
      </w:pPr>
      <w:r>
        <w:rPr>
          <w:bCs/>
          <w:b/>
        </w:rPr>
        <w:t xml:space="preserve">Priority queue for next agent (still inside stops)</w:t>
      </w:r>
      <w:r>
        <w:t xml:space="preserve">:</w:t>
      </w:r>
      <w:r>
        <w:t xml:space="preserve"> </w:t>
      </w:r>
      <w:r>
        <w:t xml:space="preserve">1. Extract Guideline (EU) 2022/912 (TARGET Guideline) core provisions — start with Appendix V (cut-off times, business-day rules) since 2015/510 already points there directly.</w:t>
      </w:r>
      <w:r>
        <w:t xml:space="preserve"> </w:t>
      </w:r>
      <w:r>
        <w:t xml:space="preserve">2. Under the new financial-model goal (Research.3 §2): pass back through MFI BSI → M1/M2/M3 derivation, GFS/EDP, and the 2016/65 haircut tables specifically to backfill full parameter values/formulas where prior batches only quoted enough to prove an edge existed. Not a new cluster — depth on ground already opened.</w:t>
      </w:r>
      <w:r>
        <w:t xml:space="preserve"> </w:t>
      </w:r>
      <w:r>
        <w:t xml:space="preserve">3. Redirect the climate-factor edge case toward ECB climate-disclosure eligibility decisions (see above) rather than re-checking 2015/510/2016/65 again.</w:t>
      </w:r>
      <w:r>
        <w:t xml:space="preserve"> </w:t>
      </w:r>
      <w:r>
        <w:t xml:space="preserve">4. Continue deepening ECB/Eurosystem material generally, as stop conditions allow.</w:t>
      </w:r>
      <w:r>
        <w:t xml:space="preserve"> </w:t>
      </w:r>
      <w:r>
        <w:t xml:space="preserve">5. Stop and report before any second NSI or municipal material.</w:t>
      </w:r>
    </w:p>
    <w:p>
      <w:pPr>
        <w:pStyle w:val="BodyText"/>
      </w:pPr>
      <w:r>
        <w:rPr>
          <w:bCs/>
          <w:b/>
        </w:rPr>
        <w:t xml:space="preserve">Provisional soft-connection notes</w:t>
      </w:r>
      <w:r>
        <w:t xml:space="preserve"> </w:t>
      </w:r>
      <w:r>
        <w:t xml:space="preserve">(Part B – non-authoritative): none new this session (no fresh Part A extraction was performed beyond the climate-factor NOT FOUND result, which yields no edge). Carry forward the existing Soft Connections list unchanged.</w:t>
      </w:r>
    </w:p>
    <w:p>
      <w:pPr>
        <w:pStyle w:val="BodyText"/>
      </w:pPr>
      <w:r>
        <w:rPr>
          <w:bCs/>
          <w:b/>
        </w:rPr>
        <w:t xml:space="preserve">Presentation rule</w:t>
      </w:r>
      <w:r>
        <w:t xml:space="preserve">: Part A field-format entries (URL / LOCATION / QUOTE / NAMES / TENSE / NOTES), verbatim quotes, precise locations, tense flags, names arrays, plus (per Research.3 §2) full parameter values/formulas where the provision contains them. No adjudication.</w:t>
      </w:r>
    </w:p>
    <w:p>
      <w:pPr>
        <w:pStyle w:val="BodyText"/>
      </w:pPr>
      <w:r>
        <w:rPr>
          <w:bCs/>
          <w:b/>
        </w:rPr>
        <w:t xml:space="preserve">Housekeeping note for the next agent</w:t>
      </w:r>
      <w:r>
        <w:t xml:space="preserve">: read Research.3.md before this file. It explains why the ECB-galaxy stop-condition lift and the financial-model goal are now written as ratified fact rather than inferred from an agent’s prose — and it establishes the THOMAS DECISION block convention used above. Use that convention yourself if Thomas gives you a scope/stop-condition decision in chat.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2026-08-04T00:06:58Z</dcterms:created>
  <dcterms:modified xsi:type="dcterms:W3CDTF">2026-08-04T00:06:58Z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