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14CC" w14:textId="77777777" w:rsidR="00D91DDA" w:rsidRPr="00D91DDA" w:rsidRDefault="00D91DDA" w:rsidP="00D91DDA">
      <w:r w:rsidRPr="00D91DDA">
        <w:t># Research.EU.md</w:t>
      </w:r>
    </w:p>
    <w:p w14:paraId="2973BA5D" w14:textId="77777777" w:rsidR="00D91DDA" w:rsidRPr="00D91DDA" w:rsidRDefault="00D91DDA" w:rsidP="00D91DDA">
      <w:r w:rsidRPr="00D91DDA">
        <w:t>**Version 0.1, 2026-08-02. Fixed standing brief for the European Union galaxy (and selected member-state systems).**</w:t>
      </w:r>
    </w:p>
    <w:p w14:paraId="57C15CF9" w14:textId="77777777" w:rsidR="00D91DDA" w:rsidRPr="00D91DDA" w:rsidRDefault="00D91DDA" w:rsidP="00D91DDA"/>
    <w:p w14:paraId="30189878" w14:textId="77777777" w:rsidR="00D91DDA" w:rsidRPr="00D91DDA" w:rsidRDefault="00D91DDA" w:rsidP="00D91DDA">
      <w:r w:rsidRPr="00D91DDA">
        <w:t>## 1. What this is</w:t>
      </w:r>
    </w:p>
    <w:p w14:paraId="3A9E0F88" w14:textId="77777777" w:rsidR="00D91DDA" w:rsidRPr="00D91DDA" w:rsidRDefault="00D91DDA" w:rsidP="00D91DDA">
      <w:r w:rsidRPr="00D91DDA">
        <w:t>The long-term visualisation places national (and supra-national) statistical / regulatory systems as distinct galaxies. The EU galaxy is the first non-North-American one. It is *not* a single national system: it is a partnership (the European Statistical System – ESS) whose apex is Eurostat (a Directorate-General of the European Commission) operating under Regulation (EC) No 223/2009 (as amended, including 2015 and 2024 revisions) and the European Statistics Code of Practice. Member-state National Statistical Institutes (NSIs) and Other National Authorities collect the data; Eurostat compiles, harmonises and disseminates European aggregates. The European Central Bank / ESCB produces the monetary and financial statistics under a parallel but coordinated mandate.</w:t>
      </w:r>
    </w:p>
    <w:p w14:paraId="5CC6A960" w14:textId="77777777" w:rsidR="00D91DDA" w:rsidRPr="00D91DDA" w:rsidRDefault="00D91DDA" w:rsidP="00D91DDA"/>
    <w:p w14:paraId="4C5CA0F7" w14:textId="77777777" w:rsidR="00D91DDA" w:rsidRPr="00D91DDA" w:rsidRDefault="00D91DDA" w:rsidP="00D91DDA">
      <w:r w:rsidRPr="00D91DDA">
        <w:t>The point remains: **what would break if this changed?** If Eurostat revised the ESA 2010 transmission programme or the EBS Regulation (2019/2152), the downstream national accounts, structural business statistics, labour-force aggregates and fiscal-surveillance indicators used by the Commission, the Council and the member states should be visible at a glance.</w:t>
      </w:r>
    </w:p>
    <w:p w14:paraId="1897FC73" w14:textId="77777777" w:rsidR="00D91DDA" w:rsidRPr="00D91DDA" w:rsidRDefault="00D91DDA" w:rsidP="00D91DDA"/>
    <w:p w14:paraId="19BC7DA7" w14:textId="77777777" w:rsidR="00D91DDA" w:rsidRPr="00D91DDA" w:rsidRDefault="00D91DDA" w:rsidP="00D91DDA">
      <w:r w:rsidRPr="00D91DDA">
        <w:t>## 2. The one rule (identical to Research.2)</w:t>
      </w:r>
    </w:p>
    <w:p w14:paraId="6F2D3A25" w14:textId="77777777" w:rsidR="00D91DDA" w:rsidRPr="00D91DDA" w:rsidRDefault="00D91DDA" w:rsidP="00D91DDA">
      <w:r w:rsidRPr="00D91DDA">
        <w:t>&gt; If no document says it, the edge does not exist.</w:t>
      </w:r>
    </w:p>
    <w:p w14:paraId="351C8C69" w14:textId="77777777" w:rsidR="00D91DDA" w:rsidRPr="00D91DDA" w:rsidRDefault="00D91DDA" w:rsidP="00D91DDA"/>
    <w:p w14:paraId="2343726F" w14:textId="77777777" w:rsidR="00D91DDA" w:rsidRPr="00D91DDA" w:rsidRDefault="00D91DDA" w:rsidP="00D91DDA">
      <w:r w:rsidRPr="00D91DDA">
        <w:t>A named EU legal act, Eurostat methodological manual, NSI quality report or national law must state, in its own words, that report A uses report B. Every edge carries a URL (or Official Journal reference) pointing at the document that says so.</w:t>
      </w:r>
    </w:p>
    <w:p w14:paraId="6D89E171" w14:textId="77777777" w:rsidR="00D91DDA" w:rsidRPr="00D91DDA" w:rsidRDefault="00D91DDA" w:rsidP="00D91DDA"/>
    <w:p w14:paraId="5D9A9313" w14:textId="77777777" w:rsidR="00D91DDA" w:rsidRPr="00D91DDA" w:rsidRDefault="00D91DDA" w:rsidP="00D91DDA">
      <w:r w:rsidRPr="00D91DDA">
        <w:t>## 3–8. Extraction protocol</w:t>
      </w:r>
    </w:p>
    <w:p w14:paraId="0E0936D1" w14:textId="77777777" w:rsidR="00D91DDA" w:rsidRPr="00D91DDA" w:rsidRDefault="00D91DDA" w:rsidP="00D91DDA">
      <w:r w:rsidRPr="00D91DDA">
        <w:t>Identical to Research.2 §§3–8 (extract only; one provision per entry; AGENCY ONLY and NOT FOUND are results; “comparable with / consistent with / harmonised with” is not a dependency but is quoted; tense must be flagged; Part B never invents).</w:t>
      </w:r>
    </w:p>
    <w:p w14:paraId="1288AD85" w14:textId="77777777" w:rsidR="00D91DDA" w:rsidRPr="00D91DDA" w:rsidRDefault="00D91DDA" w:rsidP="00D91DDA"/>
    <w:p w14:paraId="207586A2" w14:textId="77777777" w:rsidR="00D91DDA" w:rsidRPr="00D91DDA" w:rsidRDefault="00D91DDA" w:rsidP="00D91DDA">
      <w:r w:rsidRPr="00D91DDA">
        <w:t>## 9. Starting topology (top-down)</w:t>
      </w:r>
    </w:p>
    <w:p w14:paraId="57BABAFC" w14:textId="77777777" w:rsidR="00D91DDA" w:rsidRPr="00D91DDA" w:rsidRDefault="00D91DDA" w:rsidP="00D91DDA">
      <w:r w:rsidRPr="00D91DDA">
        <w:t>**Apex – supra-national**</w:t>
      </w:r>
    </w:p>
    <w:p w14:paraId="31A42FFD" w14:textId="77777777" w:rsidR="00D91DDA" w:rsidRPr="00D91DDA" w:rsidRDefault="00D91DDA" w:rsidP="00D91DDA">
      <w:r w:rsidRPr="00D91DDA">
        <w:lastRenderedPageBreak/>
        <w:t>- Eurostat (Commission DG) – Statistical Requirements Compendium (annual), European System of Accounts (ESA 2010 / future ESA), European Business Statistics Regulation and manuals, Principal European Economic Indicators, quality reports on national accounts, LFS, BoP/IIP, SBS, etc.</w:t>
      </w:r>
    </w:p>
    <w:p w14:paraId="02D1B99B" w14:textId="77777777" w:rsidR="00D91DDA" w:rsidRPr="00D91DDA" w:rsidRDefault="00D91DDA" w:rsidP="00D91DDA">
      <w:r w:rsidRPr="00D91DDA">
        <w:t>- European Central Bank / ESCB – balance-of-payments and IIP statistics, monetary aggregates, HICP (joint with Eurostat).</w:t>
      </w:r>
    </w:p>
    <w:p w14:paraId="42CA27BB" w14:textId="77777777" w:rsidR="00D91DDA" w:rsidRPr="00D91DDA" w:rsidRDefault="00D91DDA" w:rsidP="00D91DDA">
      <w:r w:rsidRPr="00D91DDA">
        <w:t>- Legal spine: Regulation 223/2009 (European statistics), ESA Regulation 549/2013, EBS Regulation 2019/2152, Code of Practice.</w:t>
      </w:r>
    </w:p>
    <w:p w14:paraId="60630228" w14:textId="77777777" w:rsidR="00D91DDA" w:rsidRPr="00D91DDA" w:rsidRDefault="00D91DDA" w:rsidP="00D91DDA"/>
    <w:p w14:paraId="5156A57A" w14:textId="77777777" w:rsidR="00D91DDA" w:rsidRPr="00D91DDA" w:rsidRDefault="00D91DDA" w:rsidP="00D91DDA">
      <w:r w:rsidRPr="00D91DDA">
        <w:t>**Member-state layer (selected high-authority NSIs first)**</w:t>
      </w:r>
    </w:p>
    <w:p w14:paraId="04171736" w14:textId="77777777" w:rsidR="00D91DDA" w:rsidRPr="00D91DDA" w:rsidRDefault="00D91DDA" w:rsidP="00D91DDA">
      <w:r w:rsidRPr="00D91DDA">
        <w:t>- Germany – Destatis + Land statistical offices (federal structure).</w:t>
      </w:r>
    </w:p>
    <w:p w14:paraId="04E21696" w14:textId="77777777" w:rsidR="00D91DDA" w:rsidRPr="00D91DDA" w:rsidRDefault="00D91DDA" w:rsidP="00D91DDA">
      <w:r w:rsidRPr="00D91DDA">
        <w:t>- France – INSEE + ministerial statistical services.</w:t>
      </w:r>
    </w:p>
    <w:p w14:paraId="70893329" w14:textId="77777777" w:rsidR="00D91DDA" w:rsidRPr="00D91DDA" w:rsidRDefault="00D91DDA" w:rsidP="00D91DDA">
      <w:r w:rsidRPr="00D91DDA">
        <w:t>- Italy – ISTAT.</w:t>
      </w:r>
    </w:p>
    <w:p w14:paraId="5A7C8E59" w14:textId="77777777" w:rsidR="00D91DDA" w:rsidRPr="00D91DDA" w:rsidRDefault="00D91DDA" w:rsidP="00D91DDA">
      <w:r w:rsidRPr="00D91DDA">
        <w:t>- Others only after marginal returns on the first three remain positive.</w:t>
      </w:r>
    </w:p>
    <w:p w14:paraId="776DE03E" w14:textId="77777777" w:rsidR="00D91DDA" w:rsidRPr="00D91DDA" w:rsidRDefault="00D91DDA" w:rsidP="00D91DDA"/>
    <w:p w14:paraId="4D40AAA6" w14:textId="77777777" w:rsidR="00D91DDA" w:rsidRPr="00D91DDA" w:rsidRDefault="00D91DDA" w:rsidP="00D91DDA">
      <w:r w:rsidRPr="00D91DDA">
        <w:t>**Fiscal / transfer layer**</w:t>
      </w:r>
    </w:p>
    <w:p w14:paraId="44DF9385" w14:textId="77777777" w:rsidR="00D91DDA" w:rsidRPr="00D91DDA" w:rsidRDefault="00D91DDA" w:rsidP="00D91DDA">
      <w:r w:rsidRPr="00D91DDA">
        <w:t>- EU budget / Multiannual Financial Framework, own-resources decision, cohesion-policy regulations, Recovery and Resilience Facility (where documented as recurrent inputs).</w:t>
      </w:r>
    </w:p>
    <w:p w14:paraId="502B40C3" w14:textId="77777777" w:rsidR="00D91DDA" w:rsidRPr="00D91DDA" w:rsidRDefault="00D91DDA" w:rsidP="00D91DDA"/>
    <w:p w14:paraId="266064D0" w14:textId="77777777" w:rsidR="00D91DDA" w:rsidRPr="00D91DDA" w:rsidRDefault="00D91DDA" w:rsidP="00D91DDA">
      <w:r w:rsidRPr="00D91DDA">
        <w:t>**Municipal / local layer (template pattern)**</w:t>
      </w:r>
    </w:p>
    <w:p w14:paraId="5B084F96" w14:textId="77777777" w:rsidR="00D91DDA" w:rsidRPr="00D91DDA" w:rsidRDefault="00D91DDA" w:rsidP="00D91DDA">
      <w:r w:rsidRPr="00D91DDA">
        <w:t xml:space="preserve">Major cities (examples for first mapping): Berlin, Paris, Rome, Madrid, Amsterdam.  </w:t>
      </w:r>
    </w:p>
    <w:p w14:paraId="68E20708" w14:textId="77777777" w:rsidR="00D91DDA" w:rsidRPr="00D91DDA" w:rsidRDefault="00D91DDA" w:rsidP="00D91DDA">
      <w:r w:rsidRPr="00D91DDA">
        <w:t>~70 k population municipal templates (Grande-Prairie scale): select 2–3 mid-sized communes / Gemeinden / comuni that publish annual budgets, tax-rate bylaws (or equivalent), assessment rolls and audited statements under national local-government law (e.g. a German Kreisstadt or French commune of ~70 k). The keystone documents are those that, by statute, must name the assessment base and any inter-governmental requisitions they collect.</w:t>
      </w:r>
    </w:p>
    <w:p w14:paraId="42349A11" w14:textId="77777777" w:rsidR="00D91DDA" w:rsidRPr="00D91DDA" w:rsidRDefault="00D91DDA" w:rsidP="00D91DDA"/>
    <w:p w14:paraId="7707680C" w14:textId="77777777" w:rsidR="00D91DDA" w:rsidRPr="00D91DDA" w:rsidRDefault="00D91DDA" w:rsidP="00D91DDA">
      <w:r w:rsidRPr="00D91DDA">
        <w:t>Cadence and authority scores will be driven by the frequency of Eurostat transmission programmes and the national implementing acts that name them.</w:t>
      </w:r>
    </w:p>
    <w:p w14:paraId="722F8772" w14:textId="77777777" w:rsidR="00D91DDA" w:rsidRPr="00D91DDA" w:rsidRDefault="00D91DDA" w:rsidP="00D91DDA"/>
    <w:p w14:paraId="246C209E" w14:textId="77777777" w:rsidR="00D91DDA" w:rsidRPr="00D91DDA" w:rsidRDefault="00D91DDA" w:rsidP="00D91DDA">
      <w:r w:rsidRPr="00D91DDA">
        <w:t>## 10. Immediate priority queue</w:t>
      </w:r>
    </w:p>
    <w:p w14:paraId="632C1F25" w14:textId="77777777" w:rsidR="00D91DDA" w:rsidRPr="00D91DDA" w:rsidRDefault="00D91DDA" w:rsidP="00D91DDA">
      <w:r w:rsidRPr="00D91DDA">
        <w:t>1. Eurostat Statistical Requirements Compendium (latest) and the list of main statistics.</w:t>
      </w:r>
    </w:p>
    <w:p w14:paraId="2EB3AECD" w14:textId="77777777" w:rsidR="00D91DDA" w:rsidRPr="00D91DDA" w:rsidRDefault="00D91DDA" w:rsidP="00D91DDA">
      <w:r w:rsidRPr="00D91DDA">
        <w:t>2. ESA 2010 transmission programme and any national quality reports that name source series.</w:t>
      </w:r>
    </w:p>
    <w:p w14:paraId="3E45B894" w14:textId="77777777" w:rsidR="00D91DDA" w:rsidRPr="00D91DDA" w:rsidRDefault="00D91DDA" w:rsidP="00D91DDA">
      <w:r w:rsidRPr="00D91DDA">
        <w:lastRenderedPageBreak/>
        <w:t>3. One high-authority NSI methodology page that explicitly cites Eurostat / ESA / EBS as the organising framework.</w:t>
      </w:r>
    </w:p>
    <w:p w14:paraId="13C6D1E5" w14:textId="77777777" w:rsidR="00D91DDA" w:rsidRPr="00D91DDA" w:rsidRDefault="00D91DDA" w:rsidP="00D91DDA">
      <w:r w:rsidRPr="00D91DDA">
        <w:t>4. Stop and report before expanding to a second member state or to municipal level.</w:t>
      </w:r>
    </w:p>
    <w:p w14:paraId="4D6F06A6" w14:textId="77777777" w:rsidR="00D91DDA" w:rsidRPr="00D91DDA" w:rsidRDefault="00D91DDA" w:rsidP="00D91DDA"/>
    <w:p w14:paraId="375EDA95" w14:textId="77777777" w:rsidR="00D91DDA" w:rsidRPr="00D91DDA" w:rsidRDefault="00D91DDA" w:rsidP="00D91DDA">
      <w:r w:rsidRPr="00D91DDA">
        <w:t>No extraction has been performed. Future agents start here.</w:t>
      </w:r>
    </w:p>
    <w:p w14:paraId="6DAF6609" w14:textId="77777777" w:rsidR="009060FD" w:rsidRDefault="009060FD"/>
    <w:sectPr w:rsidR="00906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DA"/>
    <w:rsid w:val="00406FF7"/>
    <w:rsid w:val="006A0C02"/>
    <w:rsid w:val="008714B0"/>
    <w:rsid w:val="009060FD"/>
    <w:rsid w:val="00AA4484"/>
    <w:rsid w:val="00D91DDA"/>
    <w:rsid w:val="00FA0514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295D"/>
  <w15:chartTrackingRefBased/>
  <w15:docId w15:val="{1519CA63-B154-4FE2-9272-74B11F6E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2</cp:revision>
  <dcterms:created xsi:type="dcterms:W3CDTF">2026-08-03T22:24:00Z</dcterms:created>
  <dcterms:modified xsi:type="dcterms:W3CDTF">2026-08-03T22:24:00Z</dcterms:modified>
</cp:coreProperties>
</file>