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60"/>
        <w:jc w:val="center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Marketing Committee Report</w:t>
      </w:r>
    </w:p>
    <w:p>
      <w:pPr>
        <w:spacing w:after="40" w:before="0" w:line="28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Grande Prairie Residential Society  |  Board meeting of ______________</w:t>
      </w:r>
    </w:p>
    <w:p>
      <w:pPr>
        <w:spacing w:after="120" w:before="0" w:line="28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Submitted by Thomas Cheesman</w:t>
      </w:r>
    </w:p>
    <w:p>
      <w:pPr>
        <w:keepNext/>
        <w:pBdr>
          <w:bottom w:val="single" w:color="888888" w:sz="6" w:space="4"/>
        </w:pBdr>
        <w:spacing w:after="90" w:before="150" w:lin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Since the last meeting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Ongoing upkeep of the Society website — corrections, small improvements, and keeping pages current.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Published updates on the Margaret Edgson Manor rebuild so that residents, families and donors can follow progress in one place rather than by word of mouth.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Confirmed the site is being found — by search engines, and now by the AI assistants people increasingly use instead of a search box. That matters for how a family looking for accessible housing finds us.</w:t>
      </w:r>
    </w:p>
    <w:p>
      <w:pPr>
        <w:spacing w:after="110" w:before="0" w:line="280"/>
      </w:pP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This was maintenance rather than a campaign. No spending, no new commitments.</w:t>
      </w:r>
    </w:p>
    <w:p>
      <w:pPr>
        <w:keepNext/>
        <w:pBdr>
          <w:bottom w:val="single" w:color="888888" w:sz="6" w:space="4"/>
        </w:pBdr>
        <w:spacing w:after="90" w:before="150" w:lin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Website traffic this summer</w:t>
      </w:r>
    </w:p>
    <w:p>
      <w:pPr>
        <w:spacing w:after="40" w:before="40"/>
        <w:jc w:val="center"/>
      </w:pPr>
      <w:r>
        <w:drawing>
          <wp:inline distT="0" distB="0" distL="0" distR="0">
            <wp:extent cx="43053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260"/>
        <w:jc w:val="center"/>
      </w:pPr>
      <w:r>
        <w:rPr>
          <w:rFonts w:ascii="Calibri" w:cs="Calibri" w:eastAsia="Calibri" w:hAnsi="Calibri"/>
          <w:i/>
          <w:iCs/>
          <w:color w:val="52514E"/>
          <w:sz w:val="19"/>
          <w:szCs w:val="19"/>
        </w:rPr>
        <w:t xml:space="preserve">People who visited the Society website, June to August 2026. Google Analytics. June and July figures are from Google’s 28-day reporting periods (June 3–30, July 1–28); August is the full month.</w:t>
      </w:r>
    </w:p>
    <w:p>
      <w:pPr>
        <w:spacing w:after="110" w:before="0" w:line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Traffic nearly doubled in July and stayed well above June through August. The rebuild page drove it: 11 people read it in June, 132 in July, 71 in August. People are following the Margaret Edgson Manor story, and they are coming back for it.</w:t>
      </w:r>
    </w:p>
    <w:p>
      <w:pPr>
        <w:spacing w:after="110" w:before="0" w:line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In August, 78 visitors arrived through a Google search, 37 through Facebook, and 16 from the provincial housing finder at findhousing.alberta.ca — a referral source worth knowing we have. Three quarters of visitors were from Grande Prairie, Edmonton and Calgary.</w:t>
      </w:r>
    </w:p>
    <w:p>
      <w:pPr>
        <w:keepNext/>
        <w:pBdr>
          <w:bottom w:val="single" w:color="888888" w:sz="6" w:space="4"/>
        </w:pBdr>
        <w:spacing w:after="90" w:before="150" w:lin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Item 1 for decision — protecting the Society’s name in email</w:t>
      </w:r>
    </w:p>
    <w:p>
      <w:pPr>
        <w:spacing w:after="110" w:before="0" w:line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At present, anyone in the world can send an email that appears to come from the Society. They do not need to break into anything; they simply put our name on the “From” line, the way anyone could print our letterhead at home. Email does not check this unless we tell it to.</w:t>
      </w:r>
    </w:p>
    <w:p>
      <w:pPr>
        <w:spacing w:after="110" w:before="0" w:line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We can tell it to. We publish a short public note stating which mail service may send on our behalf; Gmail, Outlook and the others read it and treat anything else as suspicious. Most organizations have one. We do not.</w:t>
      </w:r>
    </w:p>
    <w:p>
      <w:pPr>
        <w:spacing w:after="110" w:before="0" w:line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The risk is not to our computers. It is to people who trust us — a donor, a contractor, or a family on the housing list receiving a message that looks like ours, saying our banking details have changed. This is a common scam and nothing currently slows it down.</w:t>
      </w:r>
    </w:p>
    <w:p>
      <w:pPr>
        <w:spacing w:after="110" w:before="0" w:line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To be clear: nothing has been broken into — this is a lock we never installed. There is no cost, and our IT contact can put it in place in roughly ten minutes.</w:t>
      </w:r>
    </w:p>
    <w:p>
      <w:pPr>
        <w:pBdr>
          <w:left w:val="single" w:color="888888" w:sz="12" w:space="10"/>
        </w:pBdr>
        <w:spacing w:after="120" w:before="50" w:line="280"/>
        <w:ind w:left="504"/>
      </w:pP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Suggested motion: That the Marketing Committee be authorized to instruct the Society’s IT contact to put email sender protection in place for gpresidentialsociety.com, at no cost.</w:t>
      </w:r>
    </w:p>
    <w:p>
      <w:pPr>
        <w:keepNext/>
        <w:pBdr>
          <w:bottom w:val="single" w:color="888888" w:sz="6" w:space="4"/>
        </w:pBdr>
        <w:spacing w:after="90" w:before="150" w:lin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Item 2 for decision — who holds the keys</w:t>
      </w:r>
    </w:p>
    <w:p>
      <w:pPr>
        <w:spacing w:after="110" w:before="0" w:line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The Society’s web address is controlled through an account the Society itself does not hold — first a previous volunteer, now our IT contact. No one has done anything wrong and the arrangement has worked. The weakness is succession: if I stepped back tomorrow, the board would have to go looking for who controls what, as happened at the last handover.</w:t>
      </w:r>
    </w:p>
    <w:p>
      <w:pPr>
        <w:spacing w:after="110" w:before="0" w:line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I would like us to record, in the Society’s own files, who controls the web address, who controls the website, and who to call — and to decide whether those accounts should be held in the Society’s name rather than an individual’s.</w:t>
      </w:r>
    </w:p>
    <w:p>
      <w:pPr>
        <w:pBdr>
          <w:left w:val="single" w:color="888888" w:sz="12" w:space="10"/>
        </w:pBdr>
        <w:spacing w:after="120" w:before="50" w:line="280"/>
        <w:ind w:left="504"/>
      </w:pP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Suggested motion: That the Marketing Committee prepare a written record of the Society’s website and domain accounts, and report back with a recommendation on holding those accounts in the Society’s name.</w:t>
      </w:r>
    </w:p>
    <w:p>
      <w:pPr>
        <w:keepNext/>
        <w:pBdr>
          <w:bottom w:val="single" w:color="888888" w:sz="6" w:space="4"/>
        </w:pBdr>
        <w:spacing w:after="90" w:before="150" w:lin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Coming up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Continue rebuild updates as information becomes available.</w:t>
      </w:r>
    </w:p>
    <w:p>
      <w:pPr>
        <w:pStyle w:val="ListParagraph"/>
        <w:numPr>
          <w:ilvl w:val="0"/>
          <w:numId w:val="2"/>
        </w:numPr>
        <w:spacing w:after="85" w:line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Act on whichever motions the board approves.</w:t>
      </w:r>
    </w:p>
    <w:sectPr>
      <w:pgSz w:w="12240" w:h="15840" w:orient="portrait"/>
      <w:pgMar w:top="1224" w:right="1440" w:bottom="93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c58ae962a78a8eac8b3abb142e06046f67de61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GPRS Marketing Committee Report</dc:title>
  <dc:creator>Thomas Cheesman</dc:creator>
  <cp:lastModifiedBy>Un-named</cp:lastModifiedBy>
  <cp:revision>1</cp:revision>
  <dcterms:created xsi:type="dcterms:W3CDTF">2026-09-21T00:47:10.205Z</dcterms:created>
  <dcterms:modified xsi:type="dcterms:W3CDTF">2026-09-21T00:47:10.215Z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