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persona-c clean</w:t>
      </w:r>
    </w:p>
    <w:p>
      <w:r>
        <w:t>ROHAN DESAI — rohan.desai@example.com — Bengaluru, India</w:t>
      </w:r>
    </w:p>
    <w:p>
      <w:r>
        <w:t>EDUCATION: M.Tech Data Science, IISc, 2026-07-20, CGPA 9.10/10</w:t>
      </w:r>
    </w:p>
    <w:p>
      <w:r>
        <w:t>SKILLS: Python, SQL, PyTorch, pandas, scikit-learn, Airflow, MLflow</w:t>
      </w:r>
    </w:p>
    <w:p>
      <w:r>
        <w:t>PROJECT: HealthSight — PyTorch CNN chest X-ray, AUROC 0.92</w:t>
      </w:r>
    </w:p>
    <w:p>
      <w:r>
        <w:t>PUBLICATION: Desai et al. HealthSight, MICCAI 2025 (submitted)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