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B4F72"/>
          <w:sz w:val="56"/>
          <w:szCs w:val="56"/>
        </w:rPr>
        <w:t xml:space="preserve">AiCaffe</w:t>
      </w:r>
    </w:p>
    <w:p>
      <w:pPr>
        <w:spacing w:after="120"/>
        <w:jc w:val="center"/>
      </w:pPr>
      <w:r>
        <w:rPr>
          <w:rFonts w:ascii="Arial" w:cs="Arial" w:eastAsia="Arial" w:hAnsi="Arial"/>
          <w:color w:val="2E86C1"/>
          <w:sz w:val="40"/>
          <w:szCs w:val="40"/>
        </w:rPr>
        <w:t xml:space="preserve">Smart Routing + Workshop UI</w:t>
      </w:r>
    </w:p>
    <w:p>
      <w:pPr>
        <w:spacing w:after="80"/>
        <w:jc w:val="center"/>
      </w:pPr>
      <w:r>
        <w:rPr>
          <w:rFonts w:ascii="Arial" w:cs="Arial" w:eastAsia="Arial" w:hAnsi="Arial"/>
          <w:color w:val="5D6D7E"/>
          <w:sz w:val="30"/>
          <w:szCs w:val="30"/>
        </w:rPr>
        <w:t xml:space="preserve">Deep Solutioning Document</w:t>
      </w:r>
    </w:p>
    <w:p>
      <w:pPr>
        <w:pBdr>
          <w:top w:val="single" w:color="2E86C1" w:sz="6" w:space="12"/>
        </w:pBdr>
        <w:spacing w:after="0" w:before="400"/>
        <w:jc w:val="center"/>
      </w:pPr>
      <w:r>
        <w:rPr>
          <w:rFonts w:ascii="Arial" w:cs="Arial" w:eastAsia="Arial" w:hAnsi="Arial"/>
          <w:i/>
          <w:iCs/>
          <w:color w:val="5D6D7E"/>
          <w:sz w:val="22"/>
          <w:szCs w:val="22"/>
        </w:rPr>
        <w:t xml:space="preserve">February 2026  |  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28"/>
          <w:szCs w:val="28"/>
        </w:rPr>
        <w:t xml:space="preserve">1. Executive Summary</w:t>
      </w:r>
    </w:p>
    <w:p>
      <w:pPr>
        <w:spacing w:after="160" w:line="276"/>
      </w:pPr>
      <w:r>
        <w:rPr>
          <w:rFonts w:ascii="Arial" w:cs="Arial" w:eastAsia="Arial" w:hAnsi="Arial"/>
          <w:color w:val="1C2833"/>
          <w:sz w:val="21"/>
          <w:szCs w:val="21"/>
        </w:rPr>
        <w:t xml:space="preserve">This document provides a deep-dive technical and strategic solutioning for AiCaffe's two most differentiating capabilities: the Smart Routing Engine (the "Conductor") and the Workshop UI system. These two components are the primary source of competitive moat — they are the hardest to replicate and create the most lasting user value.</w:t>
      </w:r>
    </w:p>
    <w:p>
      <w:pPr>
        <w:spacing w:after="160" w:line="276"/>
      </w:pPr>
      <w:r>
        <w:rPr>
          <w:rFonts w:ascii="Arial" w:cs="Arial" w:eastAsia="Arial" w:hAnsi="Arial"/>
          <w:color w:val="1C2833"/>
          <w:sz w:val="21"/>
          <w:szCs w:val="21"/>
        </w:rPr>
        <w:t xml:space="preserve">Smart Routing determines which AI model handles a given task based on quality, cost, latency, and context. Workshop UIs provide task-specific interfaces that go beyond generic chat. Together, they transform AiCaffe from a billing aggregator into an intelligent orchestration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Core Thesis</w:t>
            </w:r>
          </w:p>
          <w:p>
            <w:pPr>
              <w:spacing w:after="0"/>
            </w:pPr>
            <w:r>
              <w:rPr>
                <w:rFonts w:ascii="Arial" w:cs="Arial" w:eastAsia="Arial" w:hAnsi="Arial"/>
                <w:color w:val="1C2833"/>
                <w:sz w:val="20"/>
                <w:szCs w:val="20"/>
              </w:rPr>
              <w:t xml:space="preserve">The billing layer is commoditizable. The intelligence layer is not. Smart Routing + Workshops are where the defensible moat lives.</w:t>
            </w:r>
          </w:p>
        </w:tc>
      </w:tr>
    </w:tbl>
    <w:p>
      <w:pPr>
        <w:spacing w:after="0" w:before="120"/>
      </w:pPr>
    </w:p>
    <w:p>
      <w:pPr>
        <w:pStyle w:val="Heading1"/>
        <w:spacing w:after="200" w:before="360"/>
      </w:pPr>
      <w:r>
        <w:rPr>
          <w:rFonts w:ascii="Arial" w:cs="Arial" w:eastAsia="Arial" w:hAnsi="Arial"/>
          <w:b/>
          <w:bCs/>
          <w:color w:val="1B4F72"/>
          <w:sz w:val="28"/>
          <w:szCs w:val="28"/>
        </w:rPr>
        <w:t xml:space="preserve">2. Smart Routing Engine ("The Conductor")</w:t>
      </w:r>
    </w:p>
    <w:p>
      <w:pPr>
        <w:pStyle w:val="Heading2"/>
        <w:spacing w:after="160" w:before="280"/>
      </w:pPr>
      <w:r>
        <w:rPr>
          <w:rFonts w:ascii="Arial" w:cs="Arial" w:eastAsia="Arial" w:hAnsi="Arial"/>
          <w:b/>
          <w:bCs/>
          <w:color w:val="2E86C1"/>
          <w:sz w:val="24"/>
          <w:szCs w:val="24"/>
        </w:rPr>
        <w:t xml:space="preserve">2.1 Architecture Overview</w:t>
      </w:r>
    </w:p>
    <w:p>
      <w:pPr>
        <w:spacing w:after="160" w:line="276"/>
      </w:pPr>
      <w:r>
        <w:rPr>
          <w:rFonts w:ascii="Arial" w:cs="Arial" w:eastAsia="Arial" w:hAnsi="Arial"/>
          <w:color w:val="1C2833"/>
          <w:sz w:val="21"/>
          <w:szCs w:val="21"/>
        </w:rPr>
        <w:t xml:space="preserve">The Smart Routing Engine sits between the user's request and the 22+ model providers. It is not a simple load balancer — it is a decision engine that evaluates multiple dimensions in real-time to select the optimal model (or combination of models) for each task.</w:t>
      </w:r>
    </w:p>
    <w:p>
      <w:pPr>
        <w:spacing w:after="120" w:before="200"/>
      </w:pPr>
      <w:r>
        <w:rPr>
          <w:rFonts w:ascii="Arial" w:cs="Arial" w:eastAsia="Arial" w:hAnsi="Arial"/>
          <w:b/>
          <w:bCs/>
          <w:color w:val="1C2833"/>
          <w:sz w:val="22"/>
          <w:szCs w:val="22"/>
        </w:rPr>
        <w:t xml:space="preserve">Core Decision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Measures</w:t>
            </w:r>
          </w:p>
        </w:tc>
        <w:tc>
          <w:tcPr>
            <w:tcW w:type="dxa" w:w="41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Source</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Task Classification</w:t>
            </w:r>
          </w:p>
        </w:tc>
        <w:tc>
          <w:tcPr>
            <w:tcW w:type="dxa" w:w="3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What type of work is this? (code, creative writing, analysis, research, translation, etc.)</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NLP classifier on user prompt + Workshop context</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Quality Fitness</w:t>
            </w:r>
          </w:p>
        </w:tc>
        <w:tc>
          <w:tcPr>
            <w:tcW w:type="dxa" w:w="34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Which model produces the best output for this specific task type?</w:t>
            </w:r>
          </w:p>
        </w:tc>
        <w:tc>
          <w:tcPr>
            <w:tcW w:type="dxa" w:w="41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Internal benchmarks + aggregated user feedback</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Cost Optimization</w:t>
            </w:r>
          </w:p>
        </w:tc>
        <w:tc>
          <w:tcPr>
            <w:tcW w:type="dxa" w:w="3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What's the cheapest model that meets the quality threshold?</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Provider pricing APIs + ACT exchange rates</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Latency Requirements</w:t>
            </w:r>
          </w:p>
        </w:tc>
        <w:tc>
          <w:tcPr>
            <w:tcW w:type="dxa" w:w="34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Does this task need streaming? Fast response? Batch processing?</w:t>
            </w:r>
          </w:p>
        </w:tc>
        <w:tc>
          <w:tcPr>
            <w:tcW w:type="dxa" w:w="41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Task type heuristics + user/admin config</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 Window</w:t>
            </w:r>
          </w:p>
        </w:tc>
        <w:tc>
          <w:tcPr>
            <w:tcW w:type="dxa" w:w="3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Does the input/output size fit the model's limits?</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Token count estimation pre-routing</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Compliance</w:t>
            </w:r>
          </w:p>
        </w:tc>
        <w:tc>
          <w:tcPr>
            <w:tcW w:type="dxa" w:w="34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Are there geographic or regulatory restrictions on which providers can be used?</w:t>
            </w:r>
          </w:p>
        </w:tc>
        <w:tc>
          <w:tcPr>
            <w:tcW w:type="dxa" w:w="41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Enterprise admin policies + data residency rules</w:t>
            </w:r>
          </w:p>
        </w:tc>
      </w:tr>
    </w:tbl>
    <w:p>
      <w:pPr>
        <w:spacing w:after="0" w:before="120"/>
      </w:pPr>
    </w:p>
    <w:p>
      <w:pPr>
        <w:pStyle w:val="Heading2"/>
        <w:spacing w:after="160" w:before="280"/>
      </w:pPr>
      <w:r>
        <w:rPr>
          <w:rFonts w:ascii="Arial" w:cs="Arial" w:eastAsia="Arial" w:hAnsi="Arial"/>
          <w:b/>
          <w:bCs/>
          <w:color w:val="2E86C1"/>
          <w:sz w:val="24"/>
          <w:szCs w:val="24"/>
        </w:rPr>
        <w:t xml:space="preserve">2.2 Routing Pipeline (Technical Flow)</w:t>
      </w:r>
    </w:p>
    <w:p>
      <w:pPr>
        <w:spacing w:after="160" w:line="276"/>
      </w:pPr>
      <w:r>
        <w:rPr>
          <w:rFonts w:ascii="Arial" w:cs="Arial" w:eastAsia="Arial" w:hAnsi="Arial"/>
          <w:color w:val="1C2833"/>
          <w:sz w:val="21"/>
          <w:szCs w:val="21"/>
        </w:rPr>
        <w:t xml:space="preserve">The routing pipeline executes in under 200ms and follows a strict sequence of evaluation stages:</w:t>
      </w:r>
    </w:p>
    <w:p>
      <w:pPr>
        <w:spacing w:after="120" w:before="200"/>
      </w:pPr>
      <w:r>
        <w:rPr>
          <w:rFonts w:ascii="Arial" w:cs="Arial" w:eastAsia="Arial" w:hAnsi="Arial"/>
          <w:b/>
          <w:bCs/>
          <w:color w:val="1C2833"/>
          <w:sz w:val="22"/>
          <w:szCs w:val="22"/>
        </w:rPr>
        <w:t xml:space="preserve">Stage 1: Intent &amp; Task Classification</w:t>
      </w:r>
    </w:p>
    <w:p>
      <w:pPr>
        <w:spacing w:after="160" w:line="276"/>
      </w:pPr>
      <w:r>
        <w:rPr>
          <w:rFonts w:ascii="Arial" w:cs="Arial" w:eastAsia="Arial" w:hAnsi="Arial"/>
          <w:color w:val="1C2833"/>
          <w:sz w:val="21"/>
          <w:szCs w:val="21"/>
        </w:rPr>
        <w:t xml:space="preserve">When a user submits a request, the Conductor first classifies the task using a lightweight, fine-tuned classifier model (hosted internally, not routed to a provider). This classifier assigns:</w:t>
      </w:r>
    </w:p>
    <w:p>
      <w:pPr>
        <w:pStyle w:val="ListParagraph"/>
        <w:numPr>
          <w:ilvl w:val="0"/>
          <w:numId w:val="2"/>
        </w:numPr>
        <w:spacing w:after="80" w:line="276"/>
      </w:pPr>
      <w:r>
        <w:rPr>
          <w:rFonts w:ascii="Arial" w:cs="Arial" w:eastAsia="Arial" w:hAnsi="Arial"/>
          <w:b/>
          <w:bCs/>
          <w:color w:val="1C2833"/>
          <w:sz w:val="21"/>
          <w:szCs w:val="21"/>
        </w:rPr>
        <w:t xml:space="preserve">Primary task type: </w:t>
      </w:r>
      <w:r>
        <w:rPr>
          <w:rFonts w:ascii="Arial" w:cs="Arial" w:eastAsia="Arial" w:hAnsi="Arial"/>
          <w:color w:val="1C2833"/>
          <w:sz w:val="21"/>
          <w:szCs w:val="21"/>
        </w:rPr>
        <w:t xml:space="preserve">One of approximately 15 canonical categories (code generation, code review, creative writing, summarization, translation, Q&amp;A, data analysis, image generation, multi-modal reasoning, research synthesis, math/logic, conversation, extraction, classification, agentic workflow).</w:t>
      </w:r>
    </w:p>
    <w:p>
      <w:pPr>
        <w:pStyle w:val="ListParagraph"/>
        <w:numPr>
          <w:ilvl w:val="0"/>
          <w:numId w:val="2"/>
        </w:numPr>
        <w:spacing w:after="80" w:line="276"/>
      </w:pPr>
      <w:r>
        <w:rPr>
          <w:rFonts w:ascii="Arial" w:cs="Arial" w:eastAsia="Arial" w:hAnsi="Arial"/>
          <w:b/>
          <w:bCs/>
          <w:color w:val="1C2833"/>
          <w:sz w:val="21"/>
          <w:szCs w:val="21"/>
        </w:rPr>
        <w:t xml:space="preserve">Complexity score: </w:t>
      </w:r>
      <w:r>
        <w:rPr>
          <w:rFonts w:ascii="Arial" w:cs="Arial" w:eastAsia="Arial" w:hAnsi="Arial"/>
          <w:color w:val="1C2833"/>
          <w:sz w:val="21"/>
          <w:szCs w:val="21"/>
        </w:rPr>
        <w:t xml:space="preserve">A 1–5 rating indicating expected difficulty. Simple factual Q&amp;A = 1, multi-step agentic research = 5.</w:t>
      </w:r>
    </w:p>
    <w:p>
      <w:pPr>
        <w:pStyle w:val="ListParagraph"/>
        <w:numPr>
          <w:ilvl w:val="0"/>
          <w:numId w:val="2"/>
        </w:numPr>
        <w:spacing w:after="80" w:line="276"/>
      </w:pPr>
      <w:r>
        <w:rPr>
          <w:rFonts w:ascii="Arial" w:cs="Arial" w:eastAsia="Arial" w:hAnsi="Arial"/>
          <w:b/>
          <w:bCs/>
          <w:color w:val="1C2833"/>
          <w:sz w:val="21"/>
          <w:szCs w:val="21"/>
        </w:rPr>
        <w:t xml:space="preserve">Modality flags: </w:t>
      </w:r>
      <w:r>
        <w:rPr>
          <w:rFonts w:ascii="Arial" w:cs="Arial" w:eastAsia="Arial" w:hAnsi="Arial"/>
          <w:color w:val="1C2833"/>
          <w:sz w:val="21"/>
          <w:szCs w:val="21"/>
        </w:rPr>
        <w:t xml:space="preserve">Text-only, text+image, text+code, text+file, multi-modal.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8F8F5"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Design Decision: Why an Internal Classifier?</w:t>
            </w:r>
          </w:p>
          <w:p>
            <w:pPr>
              <w:spacing w:after="0"/>
            </w:pPr>
            <w:r>
              <w:rPr>
                <w:rFonts w:ascii="Arial" w:cs="Arial" w:eastAsia="Arial" w:hAnsi="Arial"/>
                <w:color w:val="1C2833"/>
                <w:sz w:val="20"/>
                <w:szCs w:val="20"/>
              </w:rPr>
              <w:t xml:space="preserve">Routing every request through a provider model for classification would add 500ms+ latency and incur cost. A lightweight distilled model (sub-100M parameters) running on AiCaffe infrastructure keeps classification under 50ms with zero external dependency.</w:t>
            </w:r>
          </w:p>
        </w:tc>
      </w:tr>
    </w:tbl>
    <w:p>
      <w:pPr>
        <w:spacing w:after="0" w:before="120"/>
      </w:pPr>
    </w:p>
    <w:p>
      <w:pPr>
        <w:spacing w:after="120" w:before="200"/>
      </w:pPr>
      <w:r>
        <w:rPr>
          <w:rFonts w:ascii="Arial" w:cs="Arial" w:eastAsia="Arial" w:hAnsi="Arial"/>
          <w:b/>
          <w:bCs/>
          <w:color w:val="1C2833"/>
          <w:sz w:val="22"/>
          <w:szCs w:val="22"/>
        </w:rPr>
        <w:t xml:space="preserve">Stage 2: Candidate Filtering</w:t>
      </w:r>
    </w:p>
    <w:p>
      <w:pPr>
        <w:spacing w:after="160" w:line="276"/>
      </w:pPr>
      <w:r>
        <w:rPr>
          <w:rFonts w:ascii="Arial" w:cs="Arial" w:eastAsia="Arial" w:hAnsi="Arial"/>
          <w:color w:val="1C2833"/>
          <w:sz w:val="21"/>
          <w:szCs w:val="21"/>
        </w:rPr>
        <w:t xml:space="preserve">Based on classification output, the Conductor eliminates models that cannot handle the request:</w:t>
      </w:r>
    </w:p>
    <w:p>
      <w:pPr>
        <w:pStyle w:val="ListParagraph"/>
        <w:numPr>
          <w:ilvl w:val="0"/>
          <w:numId w:val="2"/>
        </w:numPr>
        <w:spacing w:after="80" w:line="276"/>
      </w:pPr>
      <w:r>
        <w:rPr>
          <w:rFonts w:ascii="Arial" w:cs="Arial" w:eastAsia="Arial" w:hAnsi="Arial"/>
          <w:b w:val="false"/>
          <w:bCs w:val="false"/>
          <w:color w:val="1C2833"/>
          <w:sz w:val="21"/>
          <w:szCs w:val="21"/>
        </w:rPr>
        <w:t xml:space="preserve">Models without the required modality support are excluded (e.g., text-only models for image tasks).</w:t>
      </w:r>
    </w:p>
    <w:p>
      <w:pPr>
        <w:pStyle w:val="ListParagraph"/>
        <w:numPr>
          <w:ilvl w:val="0"/>
          <w:numId w:val="2"/>
        </w:numPr>
        <w:spacing w:after="80" w:line="276"/>
      </w:pPr>
      <w:r>
        <w:rPr>
          <w:rFonts w:ascii="Arial" w:cs="Arial" w:eastAsia="Arial" w:hAnsi="Arial"/>
          <w:b w:val="false"/>
          <w:bCs w:val="false"/>
          <w:color w:val="1C2833"/>
          <w:sz w:val="21"/>
          <w:szCs w:val="21"/>
        </w:rPr>
        <w:t xml:space="preserve">Models whose context window is smaller than the estimated input+output tokens are excluded.</w:t>
      </w:r>
    </w:p>
    <w:p>
      <w:pPr>
        <w:pStyle w:val="ListParagraph"/>
        <w:numPr>
          <w:ilvl w:val="0"/>
          <w:numId w:val="2"/>
        </w:numPr>
        <w:spacing w:after="80" w:line="276"/>
      </w:pPr>
      <w:r>
        <w:rPr>
          <w:rFonts w:ascii="Arial" w:cs="Arial" w:eastAsia="Arial" w:hAnsi="Arial"/>
          <w:b w:val="false"/>
          <w:bCs w:val="false"/>
          <w:color w:val="1C2833"/>
          <w:sz w:val="21"/>
          <w:szCs w:val="21"/>
        </w:rPr>
        <w:t xml:space="preserve">Models restricted by enterprise compliance policies are excluded.</w:t>
      </w:r>
    </w:p>
    <w:p>
      <w:pPr>
        <w:pStyle w:val="ListParagraph"/>
        <w:numPr>
          <w:ilvl w:val="0"/>
          <w:numId w:val="2"/>
        </w:numPr>
        <w:spacing w:after="80" w:line="276"/>
      </w:pPr>
      <w:r>
        <w:rPr>
          <w:rFonts w:ascii="Arial" w:cs="Arial" w:eastAsia="Arial" w:hAnsi="Arial"/>
          <w:b w:val="false"/>
          <w:bCs w:val="false"/>
          <w:color w:val="1C2833"/>
          <w:sz w:val="21"/>
          <w:szCs w:val="21"/>
        </w:rPr>
        <w:t xml:space="preserve">Models currently experiencing downtime or degraded performance (based on real-time health checks) are excluded.</w:t>
      </w:r>
    </w:p>
    <w:p>
      <w:pPr>
        <w:spacing w:after="160" w:line="276"/>
      </w:pPr>
      <w:r>
        <w:rPr>
          <w:rFonts w:ascii="Arial" w:cs="Arial" w:eastAsia="Arial" w:hAnsi="Arial"/>
          <w:color w:val="1C2833"/>
          <w:sz w:val="21"/>
          <w:szCs w:val="21"/>
        </w:rPr>
        <w:t xml:space="preserve">This typically reduces the candidate pool from 22+ to 3–7 viable models.</w:t>
      </w:r>
    </w:p>
    <w:p>
      <w:pPr>
        <w:spacing w:after="120" w:before="200"/>
      </w:pPr>
      <w:r>
        <w:rPr>
          <w:rFonts w:ascii="Arial" w:cs="Arial" w:eastAsia="Arial" w:hAnsi="Arial"/>
          <w:b/>
          <w:bCs/>
          <w:color w:val="1C2833"/>
          <w:sz w:val="22"/>
          <w:szCs w:val="22"/>
        </w:rPr>
        <w:t xml:space="preserve">Stage 3: Scoring &amp; Ranking</w:t>
      </w:r>
    </w:p>
    <w:p>
      <w:pPr>
        <w:spacing w:after="160" w:line="276"/>
      </w:pPr>
      <w:r>
        <w:rPr>
          <w:rFonts w:ascii="Arial" w:cs="Arial" w:eastAsia="Arial" w:hAnsi="Arial"/>
          <w:color w:val="1C2833"/>
          <w:sz w:val="21"/>
          <w:szCs w:val="21"/>
        </w:rPr>
        <w:t xml:space="preserve">Remaining candidates are scored using a weighted multi-factor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FEF5E7"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Routing Score Formula</w:t>
            </w:r>
          </w:p>
          <w:p>
            <w:pPr>
              <w:spacing w:after="0"/>
            </w:pPr>
            <w:r>
              <w:rPr>
                <w:rFonts w:ascii="Arial" w:cs="Arial" w:eastAsia="Arial" w:hAnsi="Arial"/>
                <w:color w:val="1C2833"/>
                <w:sz w:val="20"/>
                <w:szCs w:val="20"/>
              </w:rPr>
              <w:t xml:space="preserve">Score = (W_quality × Quality_Score) + (W_cost × Cost_Score) + (W_latency × Latency_Score) + (W_reliability × Uptime_Score)
Default weights: Quality = 0.45, Cost = 0.25, Latency = 0.15, Reliability = 0.15
Weights are tunable per Workshop, per enterprise admin, and per user preference.</w:t>
            </w:r>
          </w:p>
        </w:tc>
      </w:tr>
    </w:tbl>
    <w:p>
      <w:pPr>
        <w:spacing w:after="0" w:before="120"/>
      </w:pPr>
    </w:p>
    <w:p>
      <w:pPr>
        <w:spacing w:after="160" w:line="276"/>
      </w:pPr>
      <w:r>
        <w:rPr>
          <w:rFonts w:ascii="Arial" w:cs="Arial" w:eastAsia="Arial" w:hAnsi="Arial"/>
          <w:b/>
          <w:bCs/>
          <w:color w:val="1C2833"/>
          <w:sz w:val="21"/>
          <w:szCs w:val="21"/>
        </w:rPr>
        <w:t xml:space="preserve">Quality Score </w:t>
      </w:r>
      <w:r>
        <w:rPr>
          <w:rFonts w:ascii="Arial" w:cs="Arial" w:eastAsia="Arial" w:hAnsi="Arial"/>
          <w:color w:val="1C2833"/>
          <w:sz w:val="21"/>
          <w:szCs w:val="21"/>
        </w:rPr>
        <w:t xml:space="preserve">is derived from the internal benchmark matrix — a continuously updated lookup table that maps (task_type, complexity_level) to each model's performance rating. This matrix is the core proprietary asset and is populated by:</w:t>
      </w:r>
    </w:p>
    <w:p>
      <w:pPr>
        <w:pStyle w:val="ListParagraph"/>
        <w:numPr>
          <w:ilvl w:val="0"/>
          <w:numId w:val="2"/>
        </w:numPr>
        <w:spacing w:after="80" w:line="276"/>
      </w:pPr>
      <w:r>
        <w:rPr>
          <w:rFonts w:ascii="Arial" w:cs="Arial" w:eastAsia="Arial" w:hAnsi="Arial"/>
          <w:b w:val="false"/>
          <w:bCs w:val="false"/>
          <w:color w:val="1C2833"/>
          <w:sz w:val="21"/>
          <w:szCs w:val="21"/>
        </w:rPr>
        <w:t xml:space="preserve">Automated benchmark runs (monthly evaluation suite across standardized prompts).</w:t>
      </w:r>
    </w:p>
    <w:p>
      <w:pPr>
        <w:pStyle w:val="ListParagraph"/>
        <w:numPr>
          <w:ilvl w:val="0"/>
          <w:numId w:val="2"/>
        </w:numPr>
        <w:spacing w:after="80" w:line="276"/>
      </w:pPr>
      <w:r>
        <w:rPr>
          <w:rFonts w:ascii="Arial" w:cs="Arial" w:eastAsia="Arial" w:hAnsi="Arial"/>
          <w:b w:val="false"/>
          <w:bCs w:val="false"/>
          <w:color w:val="1C2833"/>
          <w:sz w:val="21"/>
          <w:szCs w:val="21"/>
        </w:rPr>
        <w:t xml:space="preserve">Aggregated implicit feedback: completion acceptance rate, regeneration rate, thumbs-up/down across the anonymized user base.</w:t>
      </w:r>
    </w:p>
    <w:p>
      <w:pPr>
        <w:pStyle w:val="ListParagraph"/>
        <w:numPr>
          <w:ilvl w:val="0"/>
          <w:numId w:val="2"/>
        </w:numPr>
        <w:spacing w:after="80" w:line="276"/>
      </w:pPr>
      <w:r>
        <w:rPr>
          <w:rFonts w:ascii="Arial" w:cs="Arial" w:eastAsia="Arial" w:hAnsi="Arial"/>
          <w:b w:val="false"/>
          <w:bCs w:val="false"/>
          <w:color w:val="1C2833"/>
          <w:sz w:val="21"/>
          <w:szCs w:val="21"/>
        </w:rPr>
        <w:t xml:space="preserve">Expert human evaluations on a quarterly cadence for high-stakes task categories.</w:t>
      </w:r>
    </w:p>
    <w:p>
      <w:pPr>
        <w:spacing w:after="160" w:line="276"/>
      </w:pPr>
      <w:r>
        <w:rPr>
          <w:rFonts w:ascii="Arial" w:cs="Arial" w:eastAsia="Arial" w:hAnsi="Arial"/>
          <w:b/>
          <w:bCs/>
          <w:color w:val="1C2833"/>
          <w:sz w:val="21"/>
          <w:szCs w:val="21"/>
        </w:rPr>
        <w:t xml:space="preserve">Cost Score </w:t>
      </w:r>
      <w:r>
        <w:rPr>
          <w:rFonts w:ascii="Arial" w:cs="Arial" w:eastAsia="Arial" w:hAnsi="Arial"/>
          <w:color w:val="1C2833"/>
          <w:sz w:val="21"/>
          <w:szCs w:val="21"/>
        </w:rPr>
        <w:t xml:space="preserve">normalizes each model's per-token cost against the cheapest viable candidate. A model that costs 3x more gets a proportionally lower cost score. Enterprise admins can set "cost ceiling" policies that hard-cap this dimension.</w:t>
      </w:r>
    </w:p>
    <w:p>
      <w:pPr>
        <w:spacing w:after="120" w:before="200"/>
      </w:pPr>
      <w:r>
        <w:rPr>
          <w:rFonts w:ascii="Arial" w:cs="Arial" w:eastAsia="Arial" w:hAnsi="Arial"/>
          <w:b/>
          <w:bCs/>
          <w:color w:val="1C2833"/>
          <w:sz w:val="22"/>
          <w:szCs w:val="22"/>
        </w:rPr>
        <w:t xml:space="preserve">Stage 4: Selection &amp; Execution</w:t>
      </w:r>
    </w:p>
    <w:p>
      <w:pPr>
        <w:spacing w:after="160" w:line="276"/>
      </w:pPr>
      <w:r>
        <w:rPr>
          <w:rFonts w:ascii="Arial" w:cs="Arial" w:eastAsia="Arial" w:hAnsi="Arial"/>
          <w:color w:val="1C2833"/>
          <w:sz w:val="21"/>
          <w:szCs w:val="21"/>
        </w:rPr>
        <w:t xml:space="preserve">The highest-scoring model is selected and the request is forwarded. The Conductor also:</w:t>
      </w:r>
    </w:p>
    <w:p>
      <w:pPr>
        <w:pStyle w:val="ListParagraph"/>
        <w:numPr>
          <w:ilvl w:val="0"/>
          <w:numId w:val="2"/>
        </w:numPr>
        <w:spacing w:after="80" w:line="276"/>
      </w:pPr>
      <w:r>
        <w:rPr>
          <w:rFonts w:ascii="Arial" w:cs="Arial" w:eastAsia="Arial" w:hAnsi="Arial"/>
          <w:b w:val="false"/>
          <w:bCs w:val="false"/>
          <w:color w:val="1C2833"/>
          <w:sz w:val="21"/>
          <w:szCs w:val="21"/>
        </w:rPr>
        <w:t xml:space="preserve">Logs the routing decision (model selected, scores, reasoning) for analytics and model improvement.</w:t>
      </w:r>
    </w:p>
    <w:p>
      <w:pPr>
        <w:pStyle w:val="ListParagraph"/>
        <w:numPr>
          <w:ilvl w:val="0"/>
          <w:numId w:val="2"/>
        </w:numPr>
        <w:spacing w:after="80" w:line="276"/>
      </w:pPr>
      <w:r>
        <w:rPr>
          <w:rFonts w:ascii="Arial" w:cs="Arial" w:eastAsia="Arial" w:hAnsi="Arial"/>
          <w:b w:val="false"/>
          <w:bCs w:val="false"/>
          <w:color w:val="1C2833"/>
          <w:sz w:val="21"/>
          <w:szCs w:val="21"/>
        </w:rPr>
        <w:t xml:space="preserve">Sets a fallback model: if the primary model returns an error or times out, the request is automatically retried on the second-ranked model within 2 seconds.</w:t>
      </w:r>
    </w:p>
    <w:p>
      <w:pPr>
        <w:pStyle w:val="ListParagraph"/>
        <w:numPr>
          <w:ilvl w:val="0"/>
          <w:numId w:val="2"/>
        </w:numPr>
        <w:spacing w:after="80" w:line="276"/>
      </w:pPr>
      <w:r>
        <w:rPr>
          <w:rFonts w:ascii="Arial" w:cs="Arial" w:eastAsia="Arial" w:hAnsi="Arial"/>
          <w:b w:val="false"/>
          <w:bCs w:val="false"/>
          <w:color w:val="1C2833"/>
          <w:sz w:val="21"/>
          <w:szCs w:val="21"/>
        </w:rPr>
        <w:t xml:space="preserve">Injects any Workshop-specific system prompts or context from AiCaffe Drive before forwarding.</w:t>
      </w:r>
    </w:p>
    <w:p>
      <w:pPr>
        <w:pStyle w:val="Heading2"/>
        <w:spacing w:after="160" w:before="280"/>
      </w:pPr>
      <w:r>
        <w:rPr>
          <w:rFonts w:ascii="Arial" w:cs="Arial" w:eastAsia="Arial" w:hAnsi="Arial"/>
          <w:b/>
          <w:bCs/>
          <w:color w:val="2E86C1"/>
          <w:sz w:val="24"/>
          <w:szCs w:val="24"/>
        </w:rPr>
        <w:t xml:space="preserve">2.3 The Benchmark Matrix (Proprietary Asset)</w:t>
      </w:r>
    </w:p>
    <w:p>
      <w:pPr>
        <w:spacing w:after="160" w:line="276"/>
      </w:pPr>
      <w:r>
        <w:rPr>
          <w:rFonts w:ascii="Arial" w:cs="Arial" w:eastAsia="Arial" w:hAnsi="Arial"/>
          <w:color w:val="1C2833"/>
          <w:sz w:val="21"/>
          <w:szCs w:val="21"/>
        </w:rPr>
        <w:t xml:space="preserve">The Benchmark Matrix is the single most important data asset in the Smart Routing system. It is a living, continuously updated mapping of model performance across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00"/>
        <w:gridCol w:w="1100"/>
        <w:gridCol w:w="1200"/>
        <w:gridCol w:w="1100"/>
        <w:gridCol w:w="1160"/>
      </w:tblGrid>
      <w:tr>
        <w:trPr>
          <w:tblHeader/>
        </w:trPr>
        <w:tc>
          <w:tcPr>
            <w:tcW w:type="dxa" w:w="15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Type</w:t>
            </w:r>
          </w:p>
        </w:tc>
        <w:tc>
          <w:tcPr>
            <w:tcW w:type="dxa" w:w="11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c>
          <w:tcPr>
            <w:tcW w:type="dxa" w:w="1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 Sonnet</w:t>
            </w:r>
          </w:p>
        </w:tc>
        <w:tc>
          <w:tcPr>
            <w:tcW w:type="dxa" w:w="11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GPT-4o</w:t>
            </w:r>
          </w:p>
        </w:tc>
        <w:tc>
          <w:tcPr>
            <w:tcW w:type="dxa" w:w="1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Gemini Pro</w:t>
            </w:r>
          </w:p>
        </w:tc>
        <w:tc>
          <w:tcPr>
            <w:tcW w:type="dxa" w:w="11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Llama 3.1</w:t>
            </w:r>
          </w:p>
        </w:tc>
        <w:tc>
          <w:tcPr>
            <w:tcW w:type="dxa" w:w="11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Mistral Large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Generation</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 (5)</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9.2</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8.8</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7.9</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7.4</w:t>
            </w:r>
          </w:p>
        </w:tc>
        <w:tc>
          <w:tcPr>
            <w:tcW w:type="dxa" w:w="1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7.1</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Creative Writing</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 (3)</w:t>
            </w:r>
          </w:p>
        </w:tc>
        <w:tc>
          <w:tcPr>
            <w:tcW w:type="dxa" w:w="1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8.7</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8.9</w:t>
            </w:r>
          </w:p>
        </w:tc>
        <w:tc>
          <w:tcPr>
            <w:tcW w:type="dxa" w:w="1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8.1</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6.8</w:t>
            </w:r>
          </w:p>
        </w:tc>
        <w:tc>
          <w:tcPr>
            <w:tcW w:type="dxa" w:w="11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7.5</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Data Analysis</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 (4)</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8.9</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9.1</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8.5</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7.0</w:t>
            </w:r>
          </w:p>
        </w:tc>
        <w:tc>
          <w:tcPr>
            <w:tcW w:type="dxa" w:w="1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7.3</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Translation</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 (2)</w:t>
            </w:r>
          </w:p>
        </w:tc>
        <w:tc>
          <w:tcPr>
            <w:tcW w:type="dxa" w:w="1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8.0</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8.2</w:t>
            </w:r>
          </w:p>
        </w:tc>
        <w:tc>
          <w:tcPr>
            <w:tcW w:type="dxa" w:w="1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9.0</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7.5</w:t>
            </w:r>
          </w:p>
        </w:tc>
        <w:tc>
          <w:tcPr>
            <w:tcW w:type="dxa" w:w="11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8.4</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Summarization</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 (1)</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8.5</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8.3</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8.6</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8.0</w:t>
            </w:r>
          </w:p>
        </w:tc>
        <w:tc>
          <w:tcPr>
            <w:tcW w:type="dxa" w:w="1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8.2</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Multi-Modal</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 (5)</w:t>
            </w:r>
          </w:p>
        </w:tc>
        <w:tc>
          <w:tcPr>
            <w:tcW w:type="dxa" w:w="1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8.8</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9.0</w:t>
            </w:r>
          </w:p>
        </w:tc>
        <w:tc>
          <w:tcPr>
            <w:tcW w:type="dxa" w:w="1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9.2</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N/A</w:t>
            </w:r>
          </w:p>
        </w:tc>
        <w:tc>
          <w:tcPr>
            <w:tcW w:type="dxa" w:w="11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N/A</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Math / Logic</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 (5)</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9.0</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8.5</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8.7</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6.9</w:t>
            </w:r>
          </w:p>
        </w:tc>
        <w:tc>
          <w:tcPr>
            <w:tcW w:type="dxa" w:w="1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7.0</w:t>
            </w:r>
          </w:p>
        </w:tc>
      </w:tr>
    </w:tbl>
    <w:p>
      <w:pPr>
        <w:spacing w:after="0" w:before="120"/>
      </w:pPr>
    </w:p>
    <w:p>
      <w:pPr>
        <w:spacing w:after="160" w:line="276"/>
      </w:pPr>
      <w:r>
        <w:rPr>
          <w:rFonts w:ascii="Arial" w:cs="Arial" w:eastAsia="Arial" w:hAnsi="Arial"/>
          <w:i/>
          <w:iCs/>
          <w:color w:val="5D6D7E"/>
          <w:sz w:val="21"/>
          <w:szCs w:val="21"/>
        </w:rPr>
        <w:t xml:space="preserve">(Illustrative scores on a 1–10 scale. Actual matrix would include 22+ models × 15 task types × 5 complexity levels = 1,650+ data points.)</w:t>
      </w:r>
    </w:p>
    <w:p>
      <w:pPr>
        <w:spacing w:after="0" w:before="120"/>
      </w:pPr>
    </w:p>
    <w:p>
      <w:pPr>
        <w:pStyle w:val="Heading2"/>
        <w:spacing w:after="160" w:before="280"/>
      </w:pPr>
      <w:r>
        <w:rPr>
          <w:rFonts w:ascii="Arial" w:cs="Arial" w:eastAsia="Arial" w:hAnsi="Arial"/>
          <w:b/>
          <w:bCs/>
          <w:color w:val="2E86C1"/>
          <w:sz w:val="24"/>
          <w:szCs w:val="24"/>
        </w:rPr>
        <w:t xml:space="preserve">2.4 Feedback Loop &amp; Continuous Improvement</w:t>
      </w:r>
    </w:p>
    <w:p>
      <w:pPr>
        <w:spacing w:after="160" w:line="276"/>
      </w:pPr>
      <w:r>
        <w:rPr>
          <w:rFonts w:ascii="Arial" w:cs="Arial" w:eastAsia="Arial" w:hAnsi="Arial"/>
          <w:color w:val="1C2833"/>
          <w:sz w:val="21"/>
          <w:szCs w:val="21"/>
        </w:rPr>
        <w:t xml:space="preserve">The Conductor improves over time through three feedback channels:</w:t>
      </w:r>
    </w:p>
    <w:p>
      <w:pPr>
        <w:pStyle w:val="ListParagraph"/>
        <w:numPr>
          <w:ilvl w:val="0"/>
          <w:numId w:val="2"/>
        </w:numPr>
        <w:spacing w:after="80" w:line="276"/>
      </w:pPr>
      <w:r>
        <w:rPr>
          <w:rFonts w:ascii="Arial" w:cs="Arial" w:eastAsia="Arial" w:hAnsi="Arial"/>
          <w:b/>
          <w:bCs/>
          <w:color w:val="1C2833"/>
          <w:sz w:val="21"/>
          <w:szCs w:val="21"/>
        </w:rPr>
        <w:t xml:space="preserve">Implicit signals (high volume, low signal): </w:t>
      </w:r>
      <w:r>
        <w:rPr>
          <w:rFonts w:ascii="Arial" w:cs="Arial" w:eastAsia="Arial" w:hAnsi="Arial"/>
          <w:color w:val="1C2833"/>
          <w:sz w:val="21"/>
          <w:szCs w:val="21"/>
        </w:rPr>
        <w:t xml:space="preserve">Regeneration requests, conversation abandonment, task switching mid-stream. These are noisy but aggregate meaningfully at scale.</w:t>
      </w:r>
    </w:p>
    <w:p>
      <w:pPr>
        <w:pStyle w:val="ListParagraph"/>
        <w:numPr>
          <w:ilvl w:val="0"/>
          <w:numId w:val="2"/>
        </w:numPr>
        <w:spacing w:after="80" w:line="276"/>
      </w:pPr>
      <w:r>
        <w:rPr>
          <w:rFonts w:ascii="Arial" w:cs="Arial" w:eastAsia="Arial" w:hAnsi="Arial"/>
          <w:b/>
          <w:bCs/>
          <w:color w:val="1C2833"/>
          <w:sz w:val="21"/>
          <w:szCs w:val="21"/>
        </w:rPr>
        <w:t xml:space="preserve">Explicit signals (low volume, high signal): </w:t>
      </w:r>
      <w:r>
        <w:rPr>
          <w:rFonts w:ascii="Arial" w:cs="Arial" w:eastAsia="Arial" w:hAnsi="Arial"/>
          <w:color w:val="1C2833"/>
          <w:sz w:val="21"/>
          <w:szCs w:val="21"/>
        </w:rPr>
        <w:t xml:space="preserve">Thumbs up/down, star ratings on output quality. Optional but weighted heavily in benchmark updates.</w:t>
      </w:r>
    </w:p>
    <w:p>
      <w:pPr>
        <w:pStyle w:val="ListParagraph"/>
        <w:numPr>
          <w:ilvl w:val="0"/>
          <w:numId w:val="2"/>
        </w:numPr>
        <w:spacing w:after="80" w:line="276"/>
      </w:pPr>
      <w:r>
        <w:rPr>
          <w:rFonts w:ascii="Arial" w:cs="Arial" w:eastAsia="Arial" w:hAnsi="Arial"/>
          <w:b/>
          <w:bCs/>
          <w:color w:val="1C2833"/>
          <w:sz w:val="21"/>
          <w:szCs w:val="21"/>
        </w:rPr>
        <w:t xml:space="preserve">Automated evaluations (controlled, periodic): </w:t>
      </w:r>
      <w:r>
        <w:rPr>
          <w:rFonts w:ascii="Arial" w:cs="Arial" w:eastAsia="Arial" w:hAnsi="Arial"/>
          <w:color w:val="1C2833"/>
          <w:sz w:val="21"/>
          <w:szCs w:val="21"/>
        </w:rPr>
        <w:t xml:space="preserve">Monthly benchmark suite with standardized prompts, automated scoring rubrics, and regression detection. Alerts fire if a model's score drops &gt;5% month-over-month.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Data Advantage Flywheel</w:t>
            </w:r>
          </w:p>
          <w:p>
            <w:pPr>
              <w:spacing w:after="0"/>
            </w:pPr>
            <w:r>
              <w:rPr>
                <w:rFonts w:ascii="Arial" w:cs="Arial" w:eastAsia="Arial" w:hAnsi="Arial"/>
                <w:color w:val="1C2833"/>
                <w:sz w:val="20"/>
                <w:szCs w:val="20"/>
              </w:rPr>
              <w:t xml:space="preserve">Every routed request generates a data point. At 100K daily requests, AiCaffe accumulates routing intelligence faster than any single-provider platform. By month 12, the Benchmark Matrix reflects millions of real-world task outcomes — a dataset no competitor can replicate without an equivalent user base.</w:t>
            </w:r>
          </w:p>
        </w:tc>
      </w:tr>
    </w:tbl>
    <w:p>
      <w:pPr>
        <w:spacing w:after="0" w:before="120"/>
      </w:pPr>
    </w:p>
    <w:p>
      <w:pPr>
        <w:pStyle w:val="Heading2"/>
        <w:spacing w:after="160" w:before="280"/>
      </w:pPr>
      <w:r>
        <w:rPr>
          <w:rFonts w:ascii="Arial" w:cs="Arial" w:eastAsia="Arial" w:hAnsi="Arial"/>
          <w:b/>
          <w:bCs/>
          <w:color w:val="2E86C1"/>
          <w:sz w:val="24"/>
          <w:szCs w:val="24"/>
        </w:rPr>
        <w:t xml:space="preserve">2.5 Advanced Routing Modes</w:t>
      </w:r>
    </w:p>
    <w:p>
      <w:pPr>
        <w:spacing w:after="120" w:before="200"/>
      </w:pPr>
      <w:r>
        <w:rPr>
          <w:rFonts w:ascii="Arial" w:cs="Arial" w:eastAsia="Arial" w:hAnsi="Arial"/>
          <w:b/>
          <w:bCs/>
          <w:color w:val="1C2833"/>
          <w:sz w:val="22"/>
          <w:szCs w:val="22"/>
        </w:rPr>
        <w:t xml:space="preserve">Multi-Model Orchestration</w:t>
      </w:r>
    </w:p>
    <w:p>
      <w:pPr>
        <w:spacing w:after="160" w:line="276"/>
      </w:pPr>
      <w:r>
        <w:rPr>
          <w:rFonts w:ascii="Arial" w:cs="Arial" w:eastAsia="Arial" w:hAnsi="Arial"/>
          <w:color w:val="1C2833"/>
          <w:sz w:val="21"/>
          <w:szCs w:val="21"/>
        </w:rPr>
        <w:t xml:space="preserve">For complex Workshop tasks (e.g., "Research and write a competitive analysis"), the Conductor can chain multiple models:</w:t>
      </w:r>
    </w:p>
    <w:p>
      <w:pPr>
        <w:pStyle w:val="ListParagraph"/>
        <w:numPr>
          <w:ilvl w:val="0"/>
          <w:numId w:val="2"/>
        </w:numPr>
        <w:spacing w:after="80" w:line="276"/>
      </w:pPr>
      <w:r>
        <w:rPr>
          <w:rFonts w:ascii="Arial" w:cs="Arial" w:eastAsia="Arial" w:hAnsi="Arial"/>
          <w:b w:val="false"/>
          <w:bCs w:val="false"/>
          <w:color w:val="1C2833"/>
          <w:sz w:val="21"/>
          <w:szCs w:val="21"/>
        </w:rPr>
        <w:t xml:space="preserve">Model A (research-optimized) handles information gathering and synthesis.</w:t>
      </w:r>
    </w:p>
    <w:p>
      <w:pPr>
        <w:pStyle w:val="ListParagraph"/>
        <w:numPr>
          <w:ilvl w:val="0"/>
          <w:numId w:val="2"/>
        </w:numPr>
        <w:spacing w:after="80" w:line="276"/>
      </w:pPr>
      <w:r>
        <w:rPr>
          <w:rFonts w:ascii="Arial" w:cs="Arial" w:eastAsia="Arial" w:hAnsi="Arial"/>
          <w:b w:val="false"/>
          <w:bCs w:val="false"/>
          <w:color w:val="1C2833"/>
          <w:sz w:val="21"/>
          <w:szCs w:val="21"/>
        </w:rPr>
        <w:t xml:space="preserve">Model B (writing-optimized) handles the final document generation.</w:t>
      </w:r>
    </w:p>
    <w:p>
      <w:pPr>
        <w:pStyle w:val="ListParagraph"/>
        <w:numPr>
          <w:ilvl w:val="0"/>
          <w:numId w:val="2"/>
        </w:numPr>
        <w:spacing w:after="80" w:line="276"/>
      </w:pPr>
      <w:r>
        <w:rPr>
          <w:rFonts w:ascii="Arial" w:cs="Arial" w:eastAsia="Arial" w:hAnsi="Arial"/>
          <w:b w:val="false"/>
          <w:bCs w:val="false"/>
          <w:color w:val="1C2833"/>
          <w:sz w:val="21"/>
          <w:szCs w:val="21"/>
        </w:rPr>
        <w:t xml:space="preserve">Model C (code-optimized) generates any required charts or data visualizations.</w:t>
      </w:r>
    </w:p>
    <w:p>
      <w:pPr>
        <w:spacing w:after="160" w:line="276"/>
      </w:pPr>
      <w:r>
        <w:rPr>
          <w:rFonts w:ascii="Arial" w:cs="Arial" w:eastAsia="Arial" w:hAnsi="Arial"/>
          <w:color w:val="1C2833"/>
          <w:sz w:val="21"/>
          <w:szCs w:val="21"/>
        </w:rPr>
        <w:t xml:space="preserve">The orchestration layer manages context handoff between models, ensuring each stage receives the relevant output from the previous stage.</w:t>
      </w:r>
    </w:p>
    <w:p>
      <w:pPr>
        <w:spacing w:after="120" w:before="200"/>
      </w:pPr>
      <w:r>
        <w:rPr>
          <w:rFonts w:ascii="Arial" w:cs="Arial" w:eastAsia="Arial" w:hAnsi="Arial"/>
          <w:b/>
          <w:bCs/>
          <w:color w:val="1C2833"/>
          <w:sz w:val="22"/>
          <w:szCs w:val="22"/>
        </w:rPr>
        <w:t xml:space="preserve">A/B Routing for Exploration</w:t>
      </w:r>
    </w:p>
    <w:p>
      <w:pPr>
        <w:spacing w:after="160" w:line="276"/>
      </w:pPr>
      <w:r>
        <w:rPr>
          <w:rFonts w:ascii="Arial" w:cs="Arial" w:eastAsia="Arial" w:hAnsi="Arial"/>
          <w:color w:val="1C2833"/>
          <w:sz w:val="21"/>
          <w:szCs w:val="21"/>
        </w:rPr>
        <w:t xml:space="preserve">To continuously discover if a lower-cost or newer model outperforms the current leader for a task type, the Conductor runs A/B experiments:</w:t>
      </w:r>
    </w:p>
    <w:p>
      <w:pPr>
        <w:pStyle w:val="ListParagraph"/>
        <w:numPr>
          <w:ilvl w:val="0"/>
          <w:numId w:val="2"/>
        </w:numPr>
        <w:spacing w:after="80" w:line="276"/>
      </w:pPr>
      <w:r>
        <w:rPr>
          <w:rFonts w:ascii="Arial" w:cs="Arial" w:eastAsia="Arial" w:hAnsi="Arial"/>
          <w:b w:val="false"/>
          <w:bCs w:val="false"/>
          <w:color w:val="1C2833"/>
          <w:sz w:val="21"/>
          <w:szCs w:val="21"/>
        </w:rPr>
        <w:t xml:space="preserve">5–10% of traffic for a given task type is routed to a challenger model.</w:t>
      </w:r>
    </w:p>
    <w:p>
      <w:pPr>
        <w:pStyle w:val="ListParagraph"/>
        <w:numPr>
          <w:ilvl w:val="0"/>
          <w:numId w:val="2"/>
        </w:numPr>
        <w:spacing w:after="80" w:line="276"/>
      </w:pPr>
      <w:r>
        <w:rPr>
          <w:rFonts w:ascii="Arial" w:cs="Arial" w:eastAsia="Arial" w:hAnsi="Arial"/>
          <w:b w:val="false"/>
          <w:bCs w:val="false"/>
          <w:color w:val="1C2833"/>
          <w:sz w:val="21"/>
          <w:szCs w:val="21"/>
        </w:rPr>
        <w:t xml:space="preserve">Quality signals are collected and compared against the incumbent.</w:t>
      </w:r>
    </w:p>
    <w:p>
      <w:pPr>
        <w:pStyle w:val="ListParagraph"/>
        <w:numPr>
          <w:ilvl w:val="0"/>
          <w:numId w:val="2"/>
        </w:numPr>
        <w:spacing w:after="80" w:line="276"/>
      </w:pPr>
      <w:r>
        <w:rPr>
          <w:rFonts w:ascii="Arial" w:cs="Arial" w:eastAsia="Arial" w:hAnsi="Arial"/>
          <w:b w:val="false"/>
          <w:bCs w:val="false"/>
          <w:color w:val="1C2833"/>
          <w:sz w:val="21"/>
          <w:szCs w:val="21"/>
        </w:rPr>
        <w:t xml:space="preserve">If the challenger statistically outperforms after N=1000 comparisons, the Benchmark Matrix is updated automatically.</w:t>
      </w:r>
    </w:p>
    <w:p>
      <w:pPr>
        <w:spacing w:after="160" w:line="276"/>
      </w:pPr>
      <w:r>
        <w:rPr>
          <w:rFonts w:ascii="Arial" w:cs="Arial" w:eastAsia="Arial" w:hAnsi="Arial"/>
          <w:color w:val="1C2833"/>
          <w:sz w:val="21"/>
          <w:szCs w:val="21"/>
        </w:rPr>
        <w:t xml:space="preserve">This ensures the routing engine adapts to rapid model improvements without manual intervention.</w:t>
      </w:r>
    </w:p>
    <w:p>
      <w:pPr>
        <w:spacing w:after="120" w:before="200"/>
      </w:pPr>
      <w:r>
        <w:rPr>
          <w:rFonts w:ascii="Arial" w:cs="Arial" w:eastAsia="Arial" w:hAnsi="Arial"/>
          <w:b/>
          <w:bCs/>
          <w:color w:val="1C2833"/>
          <w:sz w:val="22"/>
          <w:szCs w:val="22"/>
        </w:rPr>
        <w:t xml:space="preserve">User Override &amp; Transparency</w:t>
      </w:r>
    </w:p>
    <w:p>
      <w:pPr>
        <w:spacing w:after="160" w:line="276"/>
      </w:pPr>
      <w:r>
        <w:rPr>
          <w:rFonts w:ascii="Arial" w:cs="Arial" w:eastAsia="Arial" w:hAnsi="Arial"/>
          <w:color w:val="1C2833"/>
          <w:sz w:val="21"/>
          <w:szCs w:val="21"/>
        </w:rPr>
        <w:t xml:space="preserve">While Smart Routing is the default, users are never locked in:</w:t>
      </w:r>
    </w:p>
    <w:p>
      <w:pPr>
        <w:pStyle w:val="ListParagraph"/>
        <w:numPr>
          <w:ilvl w:val="0"/>
          <w:numId w:val="2"/>
        </w:numPr>
        <w:spacing w:after="80" w:line="276"/>
      </w:pPr>
      <w:r>
        <w:rPr>
          <w:rFonts w:ascii="Arial" w:cs="Arial" w:eastAsia="Arial" w:hAnsi="Arial"/>
          <w:b w:val="false"/>
          <w:bCs w:val="false"/>
          <w:color w:val="1C2833"/>
          <w:sz w:val="21"/>
          <w:szCs w:val="21"/>
        </w:rPr>
        <w:t xml:space="preserve">Users can manually select a specific model for any request.</w:t>
      </w:r>
    </w:p>
    <w:p>
      <w:pPr>
        <w:pStyle w:val="ListParagraph"/>
        <w:numPr>
          <w:ilvl w:val="0"/>
          <w:numId w:val="2"/>
        </w:numPr>
        <w:spacing w:after="80" w:line="276"/>
      </w:pPr>
      <w:r>
        <w:rPr>
          <w:rFonts w:ascii="Arial" w:cs="Arial" w:eastAsia="Arial" w:hAnsi="Arial"/>
          <w:b w:val="false"/>
          <w:bCs w:val="false"/>
          <w:color w:val="1C2833"/>
          <w:sz w:val="21"/>
          <w:szCs w:val="21"/>
        </w:rPr>
        <w:t xml:space="preserve">A "Why this model?" tooltip explains the Conductor's reasoning (task type detected, scores, weights applied).</w:t>
      </w:r>
    </w:p>
    <w:p>
      <w:pPr>
        <w:pStyle w:val="ListParagraph"/>
        <w:numPr>
          <w:ilvl w:val="0"/>
          <w:numId w:val="2"/>
        </w:numPr>
        <w:spacing w:after="80" w:line="276"/>
      </w:pPr>
      <w:r>
        <w:rPr>
          <w:rFonts w:ascii="Arial" w:cs="Arial" w:eastAsia="Arial" w:hAnsi="Arial"/>
          <w:b w:val="false"/>
          <w:bCs w:val="false"/>
          <w:color w:val="1C2833"/>
          <w:sz w:val="21"/>
          <w:szCs w:val="21"/>
        </w:rPr>
        <w:t xml:space="preserve">Enterprise admins can pin specific models for specific Workshops or teams.</w:t>
      </w:r>
    </w:p>
    <w:p>
      <w:pPr>
        <w:spacing w:after="0" w:before="120"/>
      </w:pPr>
    </w:p>
    <w:p>
      <w:pPr>
        <w:pStyle w:val="Heading1"/>
        <w:spacing w:after="200" w:before="360"/>
      </w:pPr>
      <w:r>
        <w:rPr>
          <w:rFonts w:ascii="Arial" w:cs="Arial" w:eastAsia="Arial" w:hAnsi="Arial"/>
          <w:b/>
          <w:bCs/>
          <w:color w:val="1B4F72"/>
          <w:sz w:val="28"/>
          <w:szCs w:val="28"/>
        </w:rPr>
        <w:t xml:space="preserve">3. Workshop UI System</w:t>
      </w:r>
    </w:p>
    <w:p>
      <w:pPr>
        <w:pStyle w:val="Heading2"/>
        <w:spacing w:after="160" w:before="280"/>
      </w:pPr>
      <w:r>
        <w:rPr>
          <w:rFonts w:ascii="Arial" w:cs="Arial" w:eastAsia="Arial" w:hAnsi="Arial"/>
          <w:b/>
          <w:bCs/>
          <w:color w:val="2E86C1"/>
          <w:sz w:val="24"/>
          <w:szCs w:val="24"/>
        </w:rPr>
        <w:t xml:space="preserve">3.1 The Problem with Generic Chat</w:t>
      </w:r>
    </w:p>
    <w:p>
      <w:pPr>
        <w:spacing w:after="160" w:line="276"/>
      </w:pPr>
      <w:r>
        <w:rPr>
          <w:rFonts w:ascii="Arial" w:cs="Arial" w:eastAsia="Arial" w:hAnsi="Arial"/>
          <w:color w:val="1C2833"/>
          <w:sz w:val="21"/>
          <w:szCs w:val="21"/>
        </w:rPr>
        <w:t xml:space="preserve">Every major AI provider today offers the same interface: a text box and a conversation thread. This works for simple Q&amp;A but actively hinders complex workflows. Code generation needs syntax highlighting, file trees, and diff views. Research needs citation management, source panels, and fact-checking indicators. Content creation needs formatting toolbars, tone selectors, and version history. Data analysis needs chart renderers, table views, and query builders.</w:t>
      </w:r>
    </w:p>
    <w:p>
      <w:pPr>
        <w:spacing w:after="160" w:line="276"/>
      </w:pPr>
      <w:r>
        <w:rPr>
          <w:rFonts w:ascii="Arial" w:cs="Arial" w:eastAsia="Arial" w:hAnsi="Arial"/>
          <w:color w:val="1C2833"/>
          <w:sz w:val="21"/>
          <w:szCs w:val="21"/>
        </w:rPr>
        <w:t xml:space="preserve">Workshops solve this by providing purpose-built UI environments that adapt to the task, making AiCaffe the only platform where the interface is as intelligent as the model behind it.</w:t>
      </w:r>
    </w:p>
    <w:p>
      <w:pPr>
        <w:pStyle w:val="Heading2"/>
        <w:spacing w:after="160" w:before="280"/>
      </w:pPr>
      <w:r>
        <w:rPr>
          <w:rFonts w:ascii="Arial" w:cs="Arial" w:eastAsia="Arial" w:hAnsi="Arial"/>
          <w:b/>
          <w:bCs/>
          <w:color w:val="2E86C1"/>
          <w:sz w:val="24"/>
          <w:szCs w:val="24"/>
        </w:rPr>
        <w:t xml:space="preserve">3.2 Workshop Architecture</w:t>
      </w:r>
    </w:p>
    <w:p>
      <w:pPr>
        <w:spacing w:after="160" w:line="276"/>
      </w:pPr>
      <w:r>
        <w:rPr>
          <w:rFonts w:ascii="Arial" w:cs="Arial" w:eastAsia="Arial" w:hAnsi="Arial"/>
          <w:color w:val="1C2833"/>
          <w:sz w:val="21"/>
          <w:szCs w:val="21"/>
        </w:rPr>
        <w:t xml:space="preserve">Each Workshop is a composable UI shell built from a library of modular components. The architecture follows a "shell + panels"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Shell</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The outer container that defines layout, navigation, and routing integration</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Workshop shell with sidebar + editor + output pane</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Panels</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Pluggable UI regions that provide specific functionality</w:t>
            </w:r>
          </w:p>
        </w:tc>
        <w:tc>
          <w:tcPr>
            <w:tcW w:type="dxa" w:w="36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File tree panel, diff viewer panel, terminal panel</w:t>
            </w:r>
          </w:p>
        </w:tc>
      </w:tr>
      <w:tr>
        <w:tc>
          <w:tcPr>
            <w:tcW w:type="dxa" w:w="1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Widgets</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Atomic UI elements embedded within panels</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Syntax highlighter, citation badge, chart renderer</w:t>
            </w:r>
          </w:p>
        </w:tc>
      </w:tr>
      <w:tr>
        <w:tc>
          <w:tcPr>
            <w:tcW w:type="dxa" w:w="15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 Bridge</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The connector between Workshop UI and AiCaffe Drive + Conductor</w:t>
            </w:r>
          </w:p>
        </w:tc>
        <w:tc>
          <w:tcPr>
            <w:tcW w:type="dxa" w:w="36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Injects project files, prior conversation context, routing preferences</w:t>
            </w:r>
          </w:p>
        </w:tc>
      </w:tr>
    </w:tbl>
    <w:p>
      <w:pPr>
        <w:spacing w:after="0" w:before="120"/>
      </w:pPr>
    </w:p>
    <w:p>
      <w:pPr>
        <w:pStyle w:val="Heading2"/>
        <w:spacing w:after="160" w:before="280"/>
      </w:pPr>
      <w:r>
        <w:rPr>
          <w:rFonts w:ascii="Arial" w:cs="Arial" w:eastAsia="Arial" w:hAnsi="Arial"/>
          <w:b/>
          <w:bCs/>
          <w:color w:val="2E86C1"/>
          <w:sz w:val="24"/>
          <w:szCs w:val="24"/>
        </w:rPr>
        <w:t xml:space="preserve">3.3 Core Workshop Definitions</w:t>
      </w:r>
    </w:p>
    <w:p>
      <w:pPr>
        <w:spacing w:after="160" w:line="276"/>
      </w:pPr>
      <w:r>
        <w:rPr>
          <w:rFonts w:ascii="Arial" w:cs="Arial" w:eastAsia="Arial" w:hAnsi="Arial"/>
          <w:color w:val="1C2833"/>
          <w:sz w:val="21"/>
          <w:szCs w:val="21"/>
        </w:rPr>
        <w:t xml:space="preserve">The initial Workshop lineup covers the highest-demand use cases, with extensibility built in for future additions:</w:t>
      </w:r>
    </w:p>
    <w:p>
      <w:pPr>
        <w:spacing w:after="0" w:before="120"/>
      </w:pPr>
    </w:p>
    <w:p>
      <w:pPr>
        <w:spacing w:after="120" w:before="200"/>
      </w:pPr>
      <w:r>
        <w:rPr>
          <w:rFonts w:ascii="Arial" w:cs="Arial" w:eastAsia="Arial" w:hAnsi="Arial"/>
          <w:b/>
          <w:bCs/>
          <w:color w:val="1C2833"/>
          <w:sz w:val="22"/>
          <w:szCs w:val="22"/>
        </w:rPr>
        <w:t xml:space="preserve">Workshop 1: Code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Persona: Developer  |  Default Routing: Code-optimized models (Claude Sonnet, GPT-4o)</w:t>
            </w:r>
          </w:p>
          <w:p>
            <w:pPr>
              <w:spacing w:after="0"/>
            </w:pPr>
            <w:r>
              <w:rPr>
                <w:rFonts w:ascii="Arial" w:cs="Arial" w:eastAsia="Arial" w:hAnsi="Arial"/>
                <w:color w:val="1C2833"/>
                <w:sz w:val="20"/>
                <w:szCs w:val="20"/>
              </w:rPr>
              <w:t xml:space="preserve">Purpose: Full-cycle code development from generation to review to deployment.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4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Functionality</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Widgets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Editor</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Monaco-based editor with syntax highlighting for 50+ languages, inline AI suggestions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Autocomplete overlay, error highlighting, inline diff</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File Explorer</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Project file tree synced with AiCaffe Drive; upload, create, organize files</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Drag-drop upload, folder creation, file search</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Terminal</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Sandboxed execution environment for running and testing code</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Output stream, error parsing, execution timer</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Diff Viewer</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Side-by-side comparison of AI-generated changes vs. original code</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Accept/reject hunks, conflict resolution</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Chat Rail</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Conversational sidebar for iterating on requirements with the model</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Context-aware: references active file, selected code</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Version History</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Track all AI-generated iterations with one-click rollback</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Snapshot timeline, diff between versions</w:t>
            </w:r>
          </w:p>
        </w:tc>
      </w:tr>
    </w:tbl>
    <w:p>
      <w:pPr>
        <w:spacing w:after="0" w:before="120"/>
      </w:pPr>
    </w:p>
    <w:p>
      <w:pPr>
        <w:spacing w:after="160" w:line="276"/>
      </w:pPr>
      <w:r>
        <w:rPr>
          <w:rFonts w:ascii="Arial" w:cs="Arial" w:eastAsia="Arial" w:hAnsi="Arial"/>
          <w:color w:val="1C2833"/>
          <w:sz w:val="21"/>
          <w:szCs w:val="21"/>
        </w:rPr>
        <w:t xml:space="preserve">Smart Routing Integration: The Conductor detects sub-tasks within a code session. Generating a new function routes to a code-gen specialist. Explaining existing code routes to an instruction-following model. Writing tests may route to a different model than writing production code.</w:t>
      </w:r>
    </w:p>
    <w:p>
      <w:pPr>
        <w:spacing w:after="0" w:before="120"/>
      </w:pPr>
    </w:p>
    <w:p>
      <w:pPr>
        <w:spacing w:after="120" w:before="200"/>
      </w:pPr>
      <w:r>
        <w:rPr>
          <w:rFonts w:ascii="Arial" w:cs="Arial" w:eastAsia="Arial" w:hAnsi="Arial"/>
          <w:b/>
          <w:bCs/>
          <w:color w:val="1C2833"/>
          <w:sz w:val="22"/>
          <w:szCs w:val="22"/>
        </w:rPr>
        <w:t xml:space="preserve">Workshop 2: Research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Persona: Analyst / Researcher  |  Default Routing: Research-optimized models (Gemini Pro, Claude Opus)</w:t>
            </w:r>
          </w:p>
          <w:p>
            <w:pPr>
              <w:spacing w:after="0"/>
            </w:pPr>
            <w:r>
              <w:rPr>
                <w:rFonts w:ascii="Arial" w:cs="Arial" w:eastAsia="Arial" w:hAnsi="Arial"/>
                <w:color w:val="1C2833"/>
                <w:sz w:val="20"/>
                <w:szCs w:val="20"/>
              </w:rPr>
              <w:t xml:space="preserve">Purpose: Deep research synthesis with source tracking and citation management.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4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Functionality</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Widgets</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Source Manager</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Aggregates and organizes sources (URLs, PDFs, documents from Drive)</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Source cards, relevance scoring, duplicate detection</w:t>
            </w:r>
          </w:p>
        </w:tc>
      </w:tr>
      <w:tr>
        <w:tc>
          <w:tcPr>
            <w:tcW w:type="dxa" w:w="20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Synthesis Canvas</w:t>
            </w:r>
          </w:p>
        </w:tc>
        <w:tc>
          <w:tcPr>
            <w:tcW w:type="dxa" w:w="40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Main workspace where research outputs are assembled and structured</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Drag-and-drop sections, outline builder, export to DOCX/PDF</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Citation Sidebar</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Every AI-generated claim links to its source with confidence indicators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Inline citation badges, fact-check flags, source preview on hover</w:t>
            </w:r>
          </w:p>
        </w:tc>
      </w:tr>
      <w:tr>
        <w:tc>
          <w:tcPr>
            <w:tcW w:type="dxa" w:w="20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Comparison Matrix</w:t>
            </w:r>
          </w:p>
        </w:tc>
        <w:tc>
          <w:tcPr>
            <w:tcW w:type="dxa" w:w="40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Side-by-side comparison of findings across multiple sources</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Auto-generated comparison tables, conflict highlighting</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Chat Rail</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Conversational interface for refining research questions and directing exploration</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Source-aware context: references uploaded documents</w:t>
            </w:r>
          </w:p>
        </w:tc>
      </w:tr>
    </w:tbl>
    <w:p>
      <w:pPr>
        <w:spacing w:after="0" w:before="120"/>
      </w:pPr>
    </w:p>
    <w:p>
      <w:pPr>
        <w:spacing w:after="120" w:before="200"/>
      </w:pPr>
      <w:r>
        <w:rPr>
          <w:rFonts w:ascii="Arial" w:cs="Arial" w:eastAsia="Arial" w:hAnsi="Arial"/>
          <w:b/>
          <w:bCs/>
          <w:color w:val="1C2833"/>
          <w:sz w:val="22"/>
          <w:szCs w:val="22"/>
        </w:rPr>
        <w:t xml:space="preserve">Workshop 3: Content 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Persona: Marketer / Writer  |  Default Routing: Creative writing models (GPT-4o, Claude Sonnet)</w:t>
            </w:r>
          </w:p>
          <w:p>
            <w:pPr>
              <w:spacing w:after="0"/>
            </w:pPr>
            <w:r>
              <w:rPr>
                <w:rFonts w:ascii="Arial" w:cs="Arial" w:eastAsia="Arial" w:hAnsi="Arial"/>
                <w:color w:val="1C2833"/>
                <w:sz w:val="20"/>
                <w:szCs w:val="20"/>
              </w:rPr>
              <w:t xml:space="preserve">Purpose: Long-form and short-form content creation with brand voice consistency.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4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Functionality</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Widgets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Rich Editor</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WYSIWYG editor with formatting, headers, media embedding</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Toolbar, word count, readability score</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Tone Selector</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Configurable voice/tone profiles (formal, casual, brand-specific presets)</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Tone slider, brand voice presets saved to Drive</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Version Carousel</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Generate multiple variations of the same content for A/B selection</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Side-by-side variant cards, merge capability</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SEO Panel</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Keyword analysis, meta description generation, SERP preview</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Keyword density, competitor analysis widget</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Publish Preview</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Preview content as it would appear on target platforms (blog, email, social)</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Platform-specific rendering, character limits</w:t>
            </w:r>
          </w:p>
        </w:tc>
      </w:tr>
    </w:tbl>
    <w:p>
      <w:pPr>
        <w:spacing w:after="0" w:before="120"/>
      </w:pPr>
    </w:p>
    <w:p>
      <w:pPr>
        <w:spacing w:after="120" w:before="200"/>
      </w:pPr>
      <w:r>
        <w:rPr>
          <w:rFonts w:ascii="Arial" w:cs="Arial" w:eastAsia="Arial" w:hAnsi="Arial"/>
          <w:b/>
          <w:bCs/>
          <w:color w:val="1C2833"/>
          <w:sz w:val="22"/>
          <w:szCs w:val="22"/>
        </w:rPr>
        <w:t xml:space="preserve">Workshop 4: Data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12"/>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1"/>
                <w:szCs w:val="21"/>
              </w:rPr>
              <w:t xml:space="preserve">Persona: Business Analyst / Data Scientist  |  Default Routing: Analytical models (GPT-4o, Claude Sonnet)</w:t>
            </w:r>
          </w:p>
          <w:p>
            <w:pPr>
              <w:spacing w:after="0"/>
            </w:pPr>
            <w:r>
              <w:rPr>
                <w:rFonts w:ascii="Arial" w:cs="Arial" w:eastAsia="Arial" w:hAnsi="Arial"/>
                <w:color w:val="1C2833"/>
                <w:sz w:val="20"/>
                <w:szCs w:val="20"/>
              </w:rPr>
              <w:t xml:space="preserve">Purpose: Upload data, ask questions in natural language, get visualizations and insights.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42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Functionality</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Widgets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Data Viewer</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Spreadsheet-style view of uploaded datasets (CSV, Excel, JSON)</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Sort, filter, search, column statistics</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Query Builder</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Natural language to SQL/pandas translation with preview</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Auto-suggest, schema-aware completions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Chart Studio</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AI-generated visualizations with customization controls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Chart type selector, axis config, export PNG/SVG</w:t>
            </w:r>
          </w:p>
        </w:tc>
      </w:tr>
      <w:tr>
        <w:tc>
          <w:tcPr>
            <w:tcW w:type="dxa" w:w="1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Insight Feed</w:t>
            </w:r>
          </w:p>
        </w:tc>
        <w:tc>
          <w:tcPr>
            <w:tcW w:type="dxa" w:w="42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Auto-generated statistical summaries and anomaly detection</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Key metrics cards, trend annotations, outlier flags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Notebook</w:t>
            </w:r>
          </w:p>
        </w:tc>
        <w:tc>
          <w:tcPr>
            <w:tcW w:type="dxa" w:w="4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Sequential analysis cells (code + output) for reproducible workflows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Cell execution, markdown cells, export to Jupyter</w:t>
            </w:r>
          </w:p>
        </w:tc>
      </w:tr>
    </w:tbl>
    <w:p>
      <w:pPr>
        <w:spacing w:after="0" w:before="120"/>
      </w:pPr>
    </w:p>
    <w:p>
      <w:pPr>
        <w:pStyle w:val="Heading2"/>
        <w:spacing w:after="160" w:before="280"/>
      </w:pPr>
      <w:r>
        <w:rPr>
          <w:rFonts w:ascii="Arial" w:cs="Arial" w:eastAsia="Arial" w:hAnsi="Arial"/>
          <w:b/>
          <w:bCs/>
          <w:color w:val="2E86C1"/>
          <w:sz w:val="24"/>
          <w:szCs w:val="24"/>
        </w:rPr>
        <w:t xml:space="preserve">3.4 Workshop UI Component Library</w:t>
      </w:r>
    </w:p>
    <w:p>
      <w:pPr>
        <w:spacing w:after="160" w:line="276"/>
      </w:pPr>
      <w:r>
        <w:rPr>
          <w:rFonts w:ascii="Arial" w:cs="Arial" w:eastAsia="Arial" w:hAnsi="Arial"/>
          <w:color w:val="1C2833"/>
          <w:sz w:val="21"/>
          <w:szCs w:val="21"/>
        </w:rPr>
        <w:t xml:space="preserve">All Workshop panels are built from a shared component library to ensure consistency, reduce development time, and allow rapid creation of new Workshops. The library follows atomic design principles:</w:t>
      </w:r>
    </w:p>
    <w:p>
      <w:pPr>
        <w:pStyle w:val="ListParagraph"/>
        <w:numPr>
          <w:ilvl w:val="0"/>
          <w:numId w:val="2"/>
        </w:numPr>
        <w:spacing w:after="80" w:line="276"/>
      </w:pPr>
      <w:r>
        <w:rPr>
          <w:rFonts w:ascii="Arial" w:cs="Arial" w:eastAsia="Arial" w:hAnsi="Arial"/>
          <w:b w:val="false"/>
          <w:bCs w:val="false"/>
          <w:color w:val="1C2833"/>
          <w:sz w:val="21"/>
          <w:szCs w:val="21"/>
        </w:rPr>
        <w:t xml:space="preserve">Atoms: Buttons, input fields, badges, tooltips, icons.</w:t>
      </w:r>
    </w:p>
    <w:p>
      <w:pPr>
        <w:pStyle w:val="ListParagraph"/>
        <w:numPr>
          <w:ilvl w:val="0"/>
          <w:numId w:val="2"/>
        </w:numPr>
        <w:spacing w:after="80" w:line="276"/>
      </w:pPr>
      <w:r>
        <w:rPr>
          <w:rFonts w:ascii="Arial" w:cs="Arial" w:eastAsia="Arial" w:hAnsi="Arial"/>
          <w:b w:val="false"/>
          <w:bCs w:val="false"/>
          <w:color w:val="1C2833"/>
          <w:sz w:val="21"/>
          <w:szCs w:val="21"/>
        </w:rPr>
        <w:t xml:space="preserve">Molecules: Citation cards, source previews, model selector dropdowns, rating widgets.</w:t>
      </w:r>
    </w:p>
    <w:p>
      <w:pPr>
        <w:pStyle w:val="ListParagraph"/>
        <w:numPr>
          <w:ilvl w:val="0"/>
          <w:numId w:val="2"/>
        </w:numPr>
        <w:spacing w:after="80" w:line="276"/>
      </w:pPr>
      <w:r>
        <w:rPr>
          <w:rFonts w:ascii="Arial" w:cs="Arial" w:eastAsia="Arial" w:hAnsi="Arial"/>
          <w:b w:val="false"/>
          <w:bCs w:val="false"/>
          <w:color w:val="1C2833"/>
          <w:sz w:val="21"/>
          <w:szCs w:val="21"/>
        </w:rPr>
        <w:t xml:space="preserve">Organisms: File explorers, chat rails, rich editors, chart renderers.</w:t>
      </w:r>
    </w:p>
    <w:p>
      <w:pPr>
        <w:pStyle w:val="ListParagraph"/>
        <w:numPr>
          <w:ilvl w:val="0"/>
          <w:numId w:val="2"/>
        </w:numPr>
        <w:spacing w:after="80" w:line="276"/>
      </w:pPr>
      <w:r>
        <w:rPr>
          <w:rFonts w:ascii="Arial" w:cs="Arial" w:eastAsia="Arial" w:hAnsi="Arial"/>
          <w:b w:val="false"/>
          <w:bCs w:val="false"/>
          <w:color w:val="1C2833"/>
          <w:sz w:val="21"/>
          <w:szCs w:val="21"/>
        </w:rPr>
        <w:t xml:space="preserve">Templates: Pre-configured panel layouts for common Workshop types.</w:t>
      </w:r>
    </w:p>
    <w:p>
      <w:pPr>
        <w:spacing w:after="160" w:line="276"/>
      </w:pPr>
      <w:r>
        <w:rPr>
          <w:rFonts w:ascii="Arial" w:cs="Arial" w:eastAsia="Arial" w:hAnsi="Arial"/>
          <w:color w:val="1C2833"/>
          <w:sz w:val="21"/>
          <w:szCs w:val="21"/>
        </w:rPr>
        <w:t xml:space="preserve">This means launching a new Workshop (e.g., a Legal Document Reviewer, a Customer Support Trainer) requires assembling existing components rather than building from scratch, reducing time-to-market from months to weeks.</w:t>
      </w:r>
    </w:p>
    <w:p>
      <w:pPr>
        <w:spacing w:after="0" w:before="120"/>
      </w:pPr>
    </w:p>
    <w:p>
      <w:pPr>
        <w:pStyle w:val="Heading2"/>
        <w:spacing w:after="160" w:before="280"/>
      </w:pPr>
      <w:r>
        <w:rPr>
          <w:rFonts w:ascii="Arial" w:cs="Arial" w:eastAsia="Arial" w:hAnsi="Arial"/>
          <w:b/>
          <w:bCs/>
          <w:color w:val="2E86C1"/>
          <w:sz w:val="24"/>
          <w:szCs w:val="24"/>
        </w:rPr>
        <w:t xml:space="preserve">3.5 Context Bridge: Connecting Workshops to Intelligence</w:t>
      </w:r>
    </w:p>
    <w:p>
      <w:pPr>
        <w:spacing w:after="160" w:line="276"/>
      </w:pPr>
      <w:r>
        <w:rPr>
          <w:rFonts w:ascii="Arial" w:cs="Arial" w:eastAsia="Arial" w:hAnsi="Arial"/>
          <w:color w:val="1C2833"/>
          <w:sz w:val="21"/>
          <w:szCs w:val="21"/>
        </w:rPr>
        <w:t xml:space="preserve">The Context Bridge is the invisible layer that makes Workshops intelligent rather than just well-designed UIs. It connects three systems:</w:t>
      </w:r>
    </w:p>
    <w:p>
      <w:pPr>
        <w:pStyle w:val="ListParagraph"/>
        <w:numPr>
          <w:ilvl w:val="0"/>
          <w:numId w:val="2"/>
        </w:numPr>
        <w:spacing w:after="80" w:line="276"/>
      </w:pPr>
      <w:r>
        <w:rPr>
          <w:rFonts w:ascii="Arial" w:cs="Arial" w:eastAsia="Arial" w:hAnsi="Arial"/>
          <w:b/>
          <w:bCs/>
          <w:color w:val="1C2833"/>
          <w:sz w:val="21"/>
          <w:szCs w:val="21"/>
        </w:rPr>
        <w:t xml:space="preserve">AiCaffe Drive → Workshop: </w:t>
      </w:r>
      <w:r>
        <w:rPr>
          <w:rFonts w:ascii="Arial" w:cs="Arial" w:eastAsia="Arial" w:hAnsi="Arial"/>
          <w:color w:val="1C2833"/>
          <w:sz w:val="21"/>
          <w:szCs w:val="21"/>
        </w:rPr>
        <w:t xml:space="preserve">Project files, conversation history, and saved preferences are automatically loaded into the Workshop's context. A user returning to their "Q3 Analysis" project in the Data Analyst Workshop finds their datasets, previous queries, and generated charts exactly as they left them.</w:t>
      </w:r>
    </w:p>
    <w:p>
      <w:pPr>
        <w:pStyle w:val="ListParagraph"/>
        <w:numPr>
          <w:ilvl w:val="0"/>
          <w:numId w:val="2"/>
        </w:numPr>
        <w:spacing w:after="80" w:line="276"/>
      </w:pPr>
      <w:r>
        <w:rPr>
          <w:rFonts w:ascii="Arial" w:cs="Arial" w:eastAsia="Arial" w:hAnsi="Arial"/>
          <w:b/>
          <w:bCs/>
          <w:color w:val="1C2833"/>
          <w:sz w:val="21"/>
          <w:szCs w:val="21"/>
        </w:rPr>
        <w:t xml:space="preserve">Workshop → Conductor: </w:t>
      </w:r>
      <w:r>
        <w:rPr>
          <w:rFonts w:ascii="Arial" w:cs="Arial" w:eastAsia="Arial" w:hAnsi="Arial"/>
          <w:color w:val="1C2833"/>
          <w:sz w:val="21"/>
          <w:szCs w:val="21"/>
        </w:rPr>
        <w:t xml:space="preserve">The Workshop type informs routing defaults. A request from Code Studio carries metadata (active language, file type, project structure) that the Conductor uses to refine model selection. A Python debugging request routes differently than a Rust optimization request.</w:t>
      </w:r>
    </w:p>
    <w:p>
      <w:pPr>
        <w:pStyle w:val="ListParagraph"/>
        <w:numPr>
          <w:ilvl w:val="0"/>
          <w:numId w:val="2"/>
        </w:numPr>
        <w:spacing w:after="80" w:line="276"/>
      </w:pPr>
      <w:r>
        <w:rPr>
          <w:rFonts w:ascii="Arial" w:cs="Arial" w:eastAsia="Arial" w:hAnsi="Arial"/>
          <w:b/>
          <w:bCs/>
          <w:color w:val="1C2833"/>
          <w:sz w:val="21"/>
          <w:szCs w:val="21"/>
        </w:rPr>
        <w:t xml:space="preserve">Conductor → Workshop: </w:t>
      </w:r>
      <w:r>
        <w:rPr>
          <w:rFonts w:ascii="Arial" w:cs="Arial" w:eastAsia="Arial" w:hAnsi="Arial"/>
          <w:color w:val="1C2833"/>
          <w:sz w:val="21"/>
          <w:szCs w:val="21"/>
        </w:rPr>
        <w:t xml:space="preserve">The selected model's capabilities inform which UI features are activated. If a model supports streaming, the Workshop enables real-time token display. If a model returns structured JSON, the Workshop renders it in the appropriate panel rather than as raw text.</w:t>
      </w:r>
    </w:p>
    <w:p>
      <w:pPr>
        <w:spacing w:after="0" w:before="120"/>
      </w:pPr>
    </w:p>
    <w:p>
      <w:pPr>
        <w:pStyle w:val="Heading1"/>
        <w:spacing w:after="200" w:before="360"/>
      </w:pPr>
      <w:r>
        <w:rPr>
          <w:rFonts w:ascii="Arial" w:cs="Arial" w:eastAsia="Arial" w:hAnsi="Arial"/>
          <w:b/>
          <w:bCs/>
          <w:color w:val="1B4F72"/>
          <w:sz w:val="28"/>
          <w:szCs w:val="28"/>
        </w:rPr>
        <w:t xml:space="preserve">4. Smart Routing + Workshop Integration Matrix</w:t>
      </w:r>
    </w:p>
    <w:p>
      <w:pPr>
        <w:spacing w:after="160" w:line="276"/>
      </w:pPr>
      <w:r>
        <w:rPr>
          <w:rFonts w:ascii="Arial" w:cs="Arial" w:eastAsia="Arial" w:hAnsi="Arial"/>
          <w:color w:val="1C2833"/>
          <w:sz w:val="21"/>
          <w:szCs w:val="21"/>
        </w:rPr>
        <w:t xml:space="preserve">The real power emerges when Smart Routing and Workshops work together. The Workshop provides rich contextual signals that make routing dramatically more accurate than routing from a generic chat interface: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Workshop</w:t>
            </w:r>
          </w:p>
        </w:tc>
        <w:tc>
          <w:tcPr>
            <w:tcW w:type="dxa" w:w="34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Signal to Conductor</w:t>
            </w:r>
          </w:p>
        </w:tc>
        <w:tc>
          <w:tcPr>
            <w:tcW w:type="dxa" w:w="4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Routing Impact</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Code Studio</w:t>
            </w:r>
          </w:p>
        </w:tc>
        <w:tc>
          <w:tcPr>
            <w:tcW w:type="dxa" w:w="3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Active language, file size, operation type (generate/review/debug/test)</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Routes debugging to instruction models; generation to code specialists; reviews to models with strong reasoning</w:t>
            </w:r>
          </w:p>
        </w:tc>
      </w:tr>
      <w:tr>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Research Lab</w:t>
            </w:r>
          </w:p>
        </w:tc>
        <w:tc>
          <w:tcPr>
            <w:tcW w:type="dxa" w:w="34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Number of sources loaded, citation depth required, synthesis vs. extraction</w:t>
            </w:r>
          </w:p>
        </w:tc>
        <w:tc>
          <w:tcPr>
            <w:tcW w:type="dxa" w:w="4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Multi-source synthesis routes to high-context-window models; simple extraction routes to fast, cheap models</w:t>
            </w:r>
          </w:p>
        </w:tc>
      </w:tr>
      <w:tr>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Content Forge</w:t>
            </w:r>
          </w:p>
        </w:tc>
        <w:tc>
          <w:tcPr>
            <w:tcW w:type="dxa" w:w="3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Content type (blog/email/social), tone profile, word count target</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Short social copy routes to fast models; long-form brand content routes to creative specialists</w:t>
            </w:r>
          </w:p>
        </w:tc>
      </w:tr>
      <w:tr>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Data Analyst</w:t>
            </w:r>
          </w:p>
        </w:tc>
        <w:tc>
          <w:tcPr>
            <w:tcW w:type="dxa" w:w="34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Dataset size, query complexity, visualization vs. computation</w:t>
            </w:r>
          </w:p>
        </w:tc>
        <w:tc>
          <w:tcPr>
            <w:tcW w:type="dxa" w:w="4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Simple counts route to cheap models; complex statistical queries route to analytical specialists</w:t>
            </w:r>
          </w:p>
        </w:tc>
      </w:tr>
    </w:tbl>
    <w:p>
      <w:pPr>
        <w:spacing w:after="0" w:before="120"/>
      </w:pPr>
    </w:p>
    <w:p>
      <w:pPr>
        <w:pStyle w:val="Heading1"/>
        <w:spacing w:after="200" w:before="360"/>
      </w:pPr>
      <w:r>
        <w:rPr>
          <w:rFonts w:ascii="Arial" w:cs="Arial" w:eastAsia="Arial" w:hAnsi="Arial"/>
          <w:b/>
          <w:bCs/>
          <w:color w:val="1B4F72"/>
          <w:sz w:val="28"/>
          <w:szCs w:val="28"/>
        </w:rPr>
        <w:t xml:space="preserve">5. Success Metrics &amp; KPIs</w:t>
      </w:r>
    </w:p>
    <w:p>
      <w:pPr>
        <w:spacing w:after="160" w:line="276"/>
      </w:pPr>
      <w:r>
        <w:rPr>
          <w:rFonts w:ascii="Arial" w:cs="Arial" w:eastAsia="Arial" w:hAnsi="Arial"/>
          <w:color w:val="1C2833"/>
          <w:sz w:val="21"/>
          <w:szCs w:val="21"/>
        </w:rPr>
        <w:t xml:space="preserve">Both systems need clear, measurable success criteria to guide development and demonstrate value:</w:t>
      </w:r>
    </w:p>
    <w:p>
      <w:pPr>
        <w:spacing w:after="0" w:before="120"/>
      </w:pPr>
    </w:p>
    <w:p>
      <w:pPr>
        <w:spacing w:after="120" w:before="200"/>
      </w:pPr>
      <w:r>
        <w:rPr>
          <w:rFonts w:ascii="Arial" w:cs="Arial" w:eastAsia="Arial" w:hAnsi="Arial"/>
          <w:b/>
          <w:bCs/>
          <w:color w:val="1C2833"/>
          <w:sz w:val="22"/>
          <w:szCs w:val="22"/>
        </w:rPr>
        <w:t xml:space="preserve">Smart Routing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6)</w:t>
            </w:r>
          </w:p>
        </w:tc>
        <w:tc>
          <w:tcPr>
            <w:tcW w:type="dxa" w:w="1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12)</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Routing accuracy (user doesn't switch model)</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&gt;85%</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&gt;92%</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Track manual model overrides as % of total requests</w:t>
            </w:r>
          </w:p>
        </w:tc>
      </w:tr>
      <w:tr>
        <w:tc>
          <w:tcPr>
            <w:tcW w:type="dxa" w:w="2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Routing latency overhead</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&lt;200ms</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&lt;100ms</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P95 latency of classification + scoring pipeline</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Cost savings vs. always-premium routing</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&gt;25%</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&gt;35%</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Compare actual spend vs. hypothetical all-GPT-4o spend</w:t>
            </w:r>
          </w:p>
        </w:tc>
      </w:tr>
      <w:tr>
        <w:tc>
          <w:tcPr>
            <w:tcW w:type="dxa" w:w="2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Fallback trigger rate</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&lt;5%</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&lt;2%</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of requests that hit fallback due to primary model failure</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Benchmark matrix coverage</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80% of task/model pairs</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95%</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of cells with statistically significant quality data</w:t>
            </w:r>
          </w:p>
        </w:tc>
      </w:tr>
    </w:tbl>
    <w:p>
      <w:pPr>
        <w:spacing w:after="0" w:before="120"/>
      </w:pPr>
    </w:p>
    <w:p>
      <w:pPr>
        <w:spacing w:after="120" w:before="200"/>
      </w:pPr>
      <w:r>
        <w:rPr>
          <w:rFonts w:ascii="Arial" w:cs="Arial" w:eastAsia="Arial" w:hAnsi="Arial"/>
          <w:b/>
          <w:bCs/>
          <w:color w:val="1C2833"/>
          <w:sz w:val="22"/>
          <w:szCs w:val="22"/>
        </w:rPr>
        <w:t xml:space="preserve">Workshop UI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6)</w:t>
            </w:r>
          </w:p>
        </w:tc>
        <w:tc>
          <w:tcPr>
            <w:tcW w:type="dxa" w:w="1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12)</w:t>
            </w:r>
          </w:p>
        </w:tc>
        <w:tc>
          <w:tcPr>
            <w:tcW w:type="dxa" w:w="33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Workshop adoption rate</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&gt;40% of sessions</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&gt;65%</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of user sessions using a Workshop vs. generic chat</w:t>
            </w:r>
          </w:p>
        </w:tc>
      </w:tr>
      <w:tr>
        <w:tc>
          <w:tcPr>
            <w:tcW w:type="dxa" w:w="2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Task completion rate</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&gt;70%</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&gt;85%</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 of Workshop sessions where user exports/saves a deliverable</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Session duration (engagement)</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&gt;12 min avg</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&gt;18 min avg</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Average time spent in Workshop sessions</w:t>
            </w:r>
          </w:p>
        </w:tc>
      </w:tr>
      <w:tr>
        <w:tc>
          <w:tcPr>
            <w:tcW w:type="dxa" w:w="28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NPS score per Workshop</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&gt;35</w:t>
            </w:r>
          </w:p>
        </w:tc>
        <w:tc>
          <w:tcPr>
            <w:tcW w:type="dxa" w:w="1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&gt;50</w:t>
            </w:r>
          </w:p>
        </w:tc>
        <w:tc>
          <w:tcPr>
            <w:tcW w:type="dxa" w:w="33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Post-session survey sampling 10% of sessions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Time to new Workshop launch</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8 weeks</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3 weeks</w:t>
            </w:r>
          </w:p>
        </w:tc>
        <w:tc>
          <w:tcPr>
            <w:tcW w:type="dxa" w:w="3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From concept to production using component library</w:t>
            </w:r>
          </w:p>
        </w:tc>
      </w:tr>
    </w:tbl>
    <w:p>
      <w:pPr>
        <w:spacing w:after="0" w:before="120"/>
      </w:pPr>
    </w:p>
    <w:p>
      <w:pPr>
        <w:pStyle w:val="Heading1"/>
        <w:spacing w:after="200" w:before="360"/>
      </w:pPr>
      <w:r>
        <w:rPr>
          <w:rFonts w:ascii="Arial" w:cs="Arial" w:eastAsia="Arial" w:hAnsi="Arial"/>
          <w:b/>
          <w:bCs/>
          <w:color w:val="1B4F72"/>
          <w:sz w:val="28"/>
          <w:szCs w:val="28"/>
        </w:rPr>
        <w:t xml:space="preserve">6. Risks, Dependencies &amp; Mitigations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100"/>
        <w:gridCol w:w="4660"/>
      </w:tblGrid>
      <w:tr>
        <w:trPr>
          <w:tblHeader/>
        </w:trPr>
        <w:tc>
          <w:tcPr>
            <w:tcW w:type="dxa" w:w="26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10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660"/>
            <w:tcBorders>
              <w:top w:val="single" w:color="AEB6BF" w:sz="1"/>
              <w:left w:val="single" w:color="AEB6BF" w:sz="1"/>
              <w:bottom w:val="single" w:color="AEB6BF" w:sz="1"/>
              <w:right w:val="single" w:color="AEB6BF"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Provider pricing volatility breaks ACT margin assumptions</w:t>
            </w:r>
          </w:p>
        </w:tc>
        <w:tc>
          <w:tcPr>
            <w:tcW w:type="dxa" w:w="1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Medium</w:t>
            </w:r>
          </w:p>
        </w:tc>
        <w:tc>
          <w:tcPr>
            <w:tcW w:type="dxa" w:w="4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Dynamic ACT pricing engine; quarterly contract renegotiation; diversify provider base to maintain leverage</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Classification model misroutes consistently for edge-case tasks</w:t>
            </w:r>
          </w:p>
        </w:tc>
        <w:tc>
          <w:tcPr>
            <w:tcW w:type="dxa" w:w="10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Medium</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46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Continuous A/B exploration; manual override always available; misroute feedback loop with 24hr correction cycle</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Workshop UI complexity increases onboarding friction</w:t>
            </w:r>
          </w:p>
        </w:tc>
        <w:tc>
          <w:tcPr>
            <w:tcW w:type="dxa" w:w="1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Medium</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Medium</w:t>
            </w:r>
          </w:p>
        </w:tc>
        <w:tc>
          <w:tcPr>
            <w:tcW w:type="dxa" w:w="4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Progressive disclosure: new users see simplified mode; power features unlock gradually; guided onboarding tours</w:t>
            </w:r>
          </w:p>
        </w:tc>
      </w:tr>
      <w:tr>
        <w:tc>
          <w:tcPr>
            <w:tcW w:type="dxa" w:w="26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Provider builds competing aggregation layer</w:t>
            </w:r>
          </w:p>
        </w:tc>
        <w:tc>
          <w:tcPr>
            <w:tcW w:type="dxa" w:w="10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110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Low-Med</w:t>
            </w:r>
          </w:p>
        </w:tc>
        <w:tc>
          <w:tcPr>
            <w:tcW w:type="dxa" w:w="4660"/>
            <w:tcBorders>
              <w:top w:val="single" w:color="AEB6BF" w:sz="1"/>
              <w:left w:val="single" w:color="AEB6BF" w:sz="1"/>
              <w:bottom w:val="single" w:color="AEB6BF" w:sz="1"/>
              <w:right w:val="single" w:color="AEB6BF" w:sz="1"/>
            </w:tcBorders>
            <w:shd w:fill="F4F6F7"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Moat is in data (Benchmark Matrix) + multi-provider neutrality — no single provider can credibly offer model-agnostic routing</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Data privacy concerns from aggregated routing intelligence</w:t>
            </w:r>
          </w:p>
        </w:tc>
        <w:tc>
          <w:tcPr>
            <w:tcW w:type="dxa" w:w="1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High</w:t>
            </w:r>
          </w:p>
        </w:tc>
        <w:tc>
          <w:tcPr>
            <w:tcW w:type="dxa" w:w="11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Low</w:t>
            </w:r>
          </w:p>
        </w:tc>
        <w:tc>
          <w:tcPr>
            <w:tcW w:type="dxa" w:w="4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0"/>
                <w:szCs w:val="20"/>
              </w:rPr>
              <w:t xml:space="preserve">Strict anonymization pipeline; SOC 2 certification; option for enterprise on-prem Conductor deployment</w:t>
            </w:r>
          </w:p>
        </w:tc>
      </w:tr>
    </w:tbl>
    <w:p>
      <w:pPr>
        <w:spacing w:after="0" w:before="120"/>
      </w:pPr>
    </w:p>
    <w:p>
      <w:pPr>
        <w:pStyle w:val="Heading1"/>
        <w:spacing w:after="200" w:before="360"/>
      </w:pPr>
      <w:r>
        <w:rPr>
          <w:rFonts w:ascii="Arial" w:cs="Arial" w:eastAsia="Arial" w:hAnsi="Arial"/>
          <w:b/>
          <w:bCs/>
          <w:color w:val="1B4F72"/>
          <w:sz w:val="28"/>
          <w:szCs w:val="28"/>
        </w:rPr>
        <w:t xml:space="preserve">7. Implementation Roadmap</w:t>
      </w:r>
    </w:p>
    <w:p>
      <w:pPr>
        <w:spacing w:after="0" w:before="120"/>
      </w:pPr>
    </w:p>
    <w:p>
      <w:pPr>
        <w:spacing w:after="120" w:before="200"/>
      </w:pPr>
      <w:r>
        <w:rPr>
          <w:rFonts w:ascii="Arial" w:cs="Arial" w:eastAsia="Arial" w:hAnsi="Arial"/>
          <w:b/>
          <w:bCs/>
          <w:color w:val="1C2833"/>
          <w:sz w:val="22"/>
          <w:szCs w:val="22"/>
        </w:rPr>
        <w:t xml:space="preserve">Phase 1: Foundation (Months 1–3)</w:t>
      </w:r>
    </w:p>
    <w:p>
      <w:pPr>
        <w:pStyle w:val="ListParagraph"/>
        <w:numPr>
          <w:ilvl w:val="0"/>
          <w:numId w:val="2"/>
        </w:numPr>
        <w:spacing w:after="80" w:line="276"/>
      </w:pPr>
      <w:r>
        <w:rPr>
          <w:rFonts w:ascii="Arial" w:cs="Arial" w:eastAsia="Arial" w:hAnsi="Arial"/>
          <w:b w:val="false"/>
          <w:bCs w:val="false"/>
          <w:color w:val="1C2833"/>
          <w:sz w:val="21"/>
          <w:szCs w:val="21"/>
        </w:rPr>
        <w:t xml:space="preserve">Deploy internal task classifier (v1) with 10 task type categories.</w:t>
      </w:r>
    </w:p>
    <w:p>
      <w:pPr>
        <w:pStyle w:val="ListParagraph"/>
        <w:numPr>
          <w:ilvl w:val="0"/>
          <w:numId w:val="2"/>
        </w:numPr>
        <w:spacing w:after="80" w:line="276"/>
      </w:pPr>
      <w:r>
        <w:rPr>
          <w:rFonts w:ascii="Arial" w:cs="Arial" w:eastAsia="Arial" w:hAnsi="Arial"/>
          <w:b w:val="false"/>
          <w:bCs w:val="false"/>
          <w:color w:val="1C2833"/>
          <w:sz w:val="21"/>
          <w:szCs w:val="21"/>
        </w:rPr>
        <w:t xml:space="preserve">Build initial Benchmark Matrix from public benchmark data + internal evaluation.</w:t>
      </w:r>
    </w:p>
    <w:p>
      <w:pPr>
        <w:pStyle w:val="ListParagraph"/>
        <w:numPr>
          <w:ilvl w:val="0"/>
          <w:numId w:val="2"/>
        </w:numPr>
        <w:spacing w:after="80" w:line="276"/>
      </w:pPr>
      <w:r>
        <w:rPr>
          <w:rFonts w:ascii="Arial" w:cs="Arial" w:eastAsia="Arial" w:hAnsi="Arial"/>
          <w:b w:val="false"/>
          <w:bCs w:val="false"/>
          <w:color w:val="1C2833"/>
          <w:sz w:val="21"/>
          <w:szCs w:val="21"/>
        </w:rPr>
        <w:t xml:space="preserve">Launch Code Studio Workshop (highest developer demand).</w:t>
      </w:r>
    </w:p>
    <w:p>
      <w:pPr>
        <w:pStyle w:val="ListParagraph"/>
        <w:numPr>
          <w:ilvl w:val="0"/>
          <w:numId w:val="2"/>
        </w:numPr>
        <w:spacing w:after="80" w:line="276"/>
      </w:pPr>
      <w:r>
        <w:rPr>
          <w:rFonts w:ascii="Arial" w:cs="Arial" w:eastAsia="Arial" w:hAnsi="Arial"/>
          <w:b w:val="false"/>
          <w:bCs w:val="false"/>
          <w:color w:val="1C2833"/>
          <w:sz w:val="21"/>
          <w:szCs w:val="21"/>
        </w:rPr>
        <w:t xml:space="preserve">Implement basic routing: task classification → static model mapping (no dynamic scoring yet).</w:t>
      </w:r>
    </w:p>
    <w:p>
      <w:pPr>
        <w:pStyle w:val="ListParagraph"/>
        <w:numPr>
          <w:ilvl w:val="0"/>
          <w:numId w:val="2"/>
        </w:numPr>
        <w:spacing w:after="80" w:line="276"/>
      </w:pPr>
      <w:r>
        <w:rPr>
          <w:rFonts w:ascii="Arial" w:cs="Arial" w:eastAsia="Arial" w:hAnsi="Arial"/>
          <w:b w:val="false"/>
          <w:bCs w:val="false"/>
          <w:color w:val="1C2833"/>
          <w:sz w:val="21"/>
          <w:szCs w:val="21"/>
        </w:rPr>
        <w:t xml:space="preserve">Ship "Why this model?" transparency tooltip.</w:t>
      </w:r>
    </w:p>
    <w:p>
      <w:pPr>
        <w:spacing w:after="120" w:before="200"/>
      </w:pPr>
      <w:r>
        <w:rPr>
          <w:rFonts w:ascii="Arial" w:cs="Arial" w:eastAsia="Arial" w:hAnsi="Arial"/>
          <w:b/>
          <w:bCs/>
          <w:color w:val="1C2833"/>
          <w:sz w:val="22"/>
          <w:szCs w:val="22"/>
        </w:rPr>
        <w:t xml:space="preserve">Phase 2: Intelligence (Months 4–6)</w:t>
      </w:r>
    </w:p>
    <w:p>
      <w:pPr>
        <w:pStyle w:val="ListParagraph"/>
        <w:numPr>
          <w:ilvl w:val="0"/>
          <w:numId w:val="2"/>
        </w:numPr>
        <w:spacing w:after="80" w:line="276"/>
      </w:pPr>
      <w:r>
        <w:rPr>
          <w:rFonts w:ascii="Arial" w:cs="Arial" w:eastAsia="Arial" w:hAnsi="Arial"/>
          <w:b w:val="false"/>
          <w:bCs w:val="false"/>
          <w:color w:val="1C2833"/>
          <w:sz w:val="21"/>
          <w:szCs w:val="21"/>
        </w:rPr>
        <w:t xml:space="preserve">Introduce weighted multi-factor scoring with tunable weights.</w:t>
      </w:r>
    </w:p>
    <w:p>
      <w:pPr>
        <w:pStyle w:val="ListParagraph"/>
        <w:numPr>
          <w:ilvl w:val="0"/>
          <w:numId w:val="2"/>
        </w:numPr>
        <w:spacing w:after="80" w:line="276"/>
      </w:pPr>
      <w:r>
        <w:rPr>
          <w:rFonts w:ascii="Arial" w:cs="Arial" w:eastAsia="Arial" w:hAnsi="Arial"/>
          <w:b w:val="false"/>
          <w:bCs w:val="false"/>
          <w:color w:val="1C2833"/>
          <w:sz w:val="21"/>
          <w:szCs w:val="21"/>
        </w:rPr>
        <w:t xml:space="preserve">Launch Research Lab and Content Forge Workshops.</w:t>
      </w:r>
    </w:p>
    <w:p>
      <w:pPr>
        <w:pStyle w:val="ListParagraph"/>
        <w:numPr>
          <w:ilvl w:val="0"/>
          <w:numId w:val="2"/>
        </w:numPr>
        <w:spacing w:after="80" w:line="276"/>
      </w:pPr>
      <w:r>
        <w:rPr>
          <w:rFonts w:ascii="Arial" w:cs="Arial" w:eastAsia="Arial" w:hAnsi="Arial"/>
          <w:b w:val="false"/>
          <w:bCs w:val="false"/>
          <w:color w:val="1C2833"/>
          <w:sz w:val="21"/>
          <w:szCs w:val="21"/>
        </w:rPr>
        <w:t xml:space="preserve">Begin collecting implicit feedback signals (regeneration, abandonment) for Benchmark Matrix updates.</w:t>
      </w:r>
    </w:p>
    <w:p>
      <w:pPr>
        <w:pStyle w:val="ListParagraph"/>
        <w:numPr>
          <w:ilvl w:val="0"/>
          <w:numId w:val="2"/>
        </w:numPr>
        <w:spacing w:after="80" w:line="276"/>
      </w:pPr>
      <w:r>
        <w:rPr>
          <w:rFonts w:ascii="Arial" w:cs="Arial" w:eastAsia="Arial" w:hAnsi="Arial"/>
          <w:b w:val="false"/>
          <w:bCs w:val="false"/>
          <w:color w:val="1C2833"/>
          <w:sz w:val="21"/>
          <w:szCs w:val="21"/>
        </w:rPr>
        <w:t xml:space="preserve">Implement fallback routing and real-time provider health monitoring.</w:t>
      </w:r>
    </w:p>
    <w:p>
      <w:pPr>
        <w:pStyle w:val="ListParagraph"/>
        <w:numPr>
          <w:ilvl w:val="0"/>
          <w:numId w:val="2"/>
        </w:numPr>
        <w:spacing w:after="80" w:line="276"/>
      </w:pPr>
      <w:r>
        <w:rPr>
          <w:rFonts w:ascii="Arial" w:cs="Arial" w:eastAsia="Arial" w:hAnsi="Arial"/>
          <w:b w:val="false"/>
          <w:bCs w:val="false"/>
          <w:color w:val="1C2833"/>
          <w:sz w:val="21"/>
          <w:szCs w:val="21"/>
        </w:rPr>
        <w:t xml:space="preserve">Build Context Bridge v1 connecting Drive to Workshops.</w:t>
      </w:r>
    </w:p>
    <w:p>
      <w:pPr>
        <w:spacing w:after="120" w:before="200"/>
      </w:pPr>
      <w:r>
        <w:rPr>
          <w:rFonts w:ascii="Arial" w:cs="Arial" w:eastAsia="Arial" w:hAnsi="Arial"/>
          <w:b/>
          <w:bCs/>
          <w:color w:val="1C2833"/>
          <w:sz w:val="22"/>
          <w:szCs w:val="22"/>
        </w:rPr>
        <w:t xml:space="preserve">Phase 3: Scale (Months 7–12)</w:t>
      </w:r>
    </w:p>
    <w:p>
      <w:pPr>
        <w:pStyle w:val="ListParagraph"/>
        <w:numPr>
          <w:ilvl w:val="0"/>
          <w:numId w:val="2"/>
        </w:numPr>
        <w:spacing w:after="80" w:line="276"/>
      </w:pPr>
      <w:r>
        <w:rPr>
          <w:rFonts w:ascii="Arial" w:cs="Arial" w:eastAsia="Arial" w:hAnsi="Arial"/>
          <w:b w:val="false"/>
          <w:bCs w:val="false"/>
          <w:color w:val="1C2833"/>
          <w:sz w:val="21"/>
          <w:szCs w:val="21"/>
        </w:rPr>
        <w:t xml:space="preserve">Launch Data Analyst Workshop and 2 additional community-requested Workshops.</w:t>
      </w:r>
    </w:p>
    <w:p>
      <w:pPr>
        <w:pStyle w:val="ListParagraph"/>
        <w:numPr>
          <w:ilvl w:val="0"/>
          <w:numId w:val="2"/>
        </w:numPr>
        <w:spacing w:after="80" w:line="276"/>
      </w:pPr>
      <w:r>
        <w:rPr>
          <w:rFonts w:ascii="Arial" w:cs="Arial" w:eastAsia="Arial" w:hAnsi="Arial"/>
          <w:b w:val="false"/>
          <w:bCs w:val="false"/>
          <w:color w:val="1C2833"/>
          <w:sz w:val="21"/>
          <w:szCs w:val="21"/>
        </w:rPr>
        <w:t xml:space="preserve">Activate A/B routing exploration across all task types.</w:t>
      </w:r>
    </w:p>
    <w:p>
      <w:pPr>
        <w:pStyle w:val="ListParagraph"/>
        <w:numPr>
          <w:ilvl w:val="0"/>
          <w:numId w:val="2"/>
        </w:numPr>
        <w:spacing w:after="80" w:line="276"/>
      </w:pPr>
      <w:r>
        <w:rPr>
          <w:rFonts w:ascii="Arial" w:cs="Arial" w:eastAsia="Arial" w:hAnsi="Arial"/>
          <w:b w:val="false"/>
          <w:bCs w:val="false"/>
          <w:color w:val="1C2833"/>
          <w:sz w:val="21"/>
          <w:szCs w:val="21"/>
        </w:rPr>
        <w:t xml:space="preserve">Deploy multi-model orchestration for complex Workshop tasks.</w:t>
      </w:r>
    </w:p>
    <w:p>
      <w:pPr>
        <w:pStyle w:val="ListParagraph"/>
        <w:numPr>
          <w:ilvl w:val="0"/>
          <w:numId w:val="2"/>
        </w:numPr>
        <w:spacing w:after="80" w:line="276"/>
      </w:pPr>
      <w:r>
        <w:rPr>
          <w:rFonts w:ascii="Arial" w:cs="Arial" w:eastAsia="Arial" w:hAnsi="Arial"/>
          <w:b w:val="false"/>
          <w:bCs w:val="false"/>
          <w:color w:val="1C2833"/>
          <w:sz w:val="21"/>
          <w:szCs w:val="21"/>
        </w:rPr>
        <w:t xml:space="preserve">Open Workshop component library for enterprise custom Workshop creation.</w:t>
      </w:r>
    </w:p>
    <w:p>
      <w:pPr>
        <w:pStyle w:val="ListParagraph"/>
        <w:numPr>
          <w:ilvl w:val="0"/>
          <w:numId w:val="2"/>
        </w:numPr>
        <w:spacing w:after="80" w:line="276"/>
      </w:pPr>
      <w:r>
        <w:rPr>
          <w:rFonts w:ascii="Arial" w:cs="Arial" w:eastAsia="Arial" w:hAnsi="Arial"/>
          <w:b w:val="false"/>
          <w:bCs w:val="false"/>
          <w:color w:val="1C2833"/>
          <w:sz w:val="21"/>
          <w:szCs w:val="21"/>
        </w:rPr>
        <w:t xml:space="preserve">Achieve SOC 2 certification for routing data pipeline.</w:t>
      </w:r>
    </w:p>
    <w:p>
      <w:pPr>
        <w:pStyle w:val="ListParagraph"/>
        <w:numPr>
          <w:ilvl w:val="0"/>
          <w:numId w:val="2"/>
        </w:numPr>
        <w:spacing w:after="80" w:line="276"/>
      </w:pPr>
      <w:r>
        <w:rPr>
          <w:rFonts w:ascii="Arial" w:cs="Arial" w:eastAsia="Arial" w:hAnsi="Arial"/>
          <w:b w:val="false"/>
          <w:bCs w:val="false"/>
          <w:color w:val="1C2833"/>
          <w:sz w:val="21"/>
          <w:szCs w:val="21"/>
        </w:rPr>
        <w:t xml:space="preserve">Hit 92%+ routing accuracy target through accumulated data intelligence.</w:t>
      </w:r>
    </w:p>
    <w:p>
      <w:pPr>
        <w:spacing w:after="0" w:before="120"/>
      </w:pPr>
    </w:p>
    <w:p>
      <w:pPr>
        <w:pStyle w:val="Heading1"/>
        <w:spacing w:after="200" w:before="360"/>
      </w:pPr>
      <w:r>
        <w:rPr>
          <w:rFonts w:ascii="Arial" w:cs="Arial" w:eastAsia="Arial" w:hAnsi="Arial"/>
          <w:b/>
          <w:bCs/>
          <w:color w:val="1B4F72"/>
          <w:sz w:val="28"/>
          <w:szCs w:val="28"/>
        </w:rPr>
        <w:t xml:space="preserve">8. Strategic Conclusion</w:t>
      </w:r>
    </w:p>
    <w:p>
      <w:pPr>
        <w:spacing w:after="160" w:line="276"/>
      </w:pPr>
      <w:r>
        <w:rPr>
          <w:rFonts w:ascii="Arial" w:cs="Arial" w:eastAsia="Arial" w:hAnsi="Arial"/>
          <w:color w:val="1C2833"/>
          <w:sz w:val="21"/>
          <w:szCs w:val="21"/>
        </w:rPr>
        <w:t xml:space="preserve">Smart Routing and Workshop UIs are not features — they are the platform. The billing layer gets users in the door; the intelligence layer keeps them. Every routed request makes the Benchmark Matrix more accurate. Every Workshop session generates context that makes routing smarter. Every new model added to the provider network increases the Conductor's option space.</w:t>
      </w:r>
    </w:p>
    <w:p>
      <w:pPr>
        <w:spacing w:after="160" w:line="276"/>
      </w:pPr>
      <w:r>
        <w:rPr>
          <w:rFonts w:ascii="Arial" w:cs="Arial" w:eastAsia="Arial" w:hAnsi="Arial"/>
          <w:color w:val="1C2833"/>
          <w:sz w:val="21"/>
          <w:szCs w:val="21"/>
        </w:rPr>
        <w:t xml:space="preserve">The defensibility is structural: to replicate this, a competitor would need AiCaffe's multi-provider relationships (which no single provider can offer), a comparable user base generating routing data (a cold-start problem), Workshop UIs purpose-built for each task type (significant engineering investment), and the Context Bridge connecting persistent memory to intelligent routing.</w:t>
      </w:r>
    </w:p>
    <w:p>
      <w:pPr>
        <w:spacing w:after="160" w:line="276"/>
      </w:pPr>
      <w:r>
        <w:rPr>
          <w:rFonts w:ascii="Arial" w:cs="Arial" w:eastAsia="Arial" w:hAnsi="Arial"/>
          <w:color w:val="1C2833"/>
          <w:sz w:val="21"/>
          <w:szCs w:val="21"/>
        </w:rPr>
        <w:t xml:space="preserve">This is the moat. Build it first, and build it well.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B6BF" w:sz="2" w:space="4"/>
      </w:pBdr>
      <w:tabs>
        <w:tab w:val="right" w:pos="9360"/>
      </w:tabs>
    </w:pPr>
    <w:r>
      <w:rPr>
        <w:rFonts w:ascii="Arial" w:cs="Arial" w:eastAsia="Arial" w:hAnsi="Arial"/>
        <w:color w:val="5D6D7E"/>
        <w:sz w:val="16"/>
        <w:szCs w:val="16"/>
      </w:rPr>
      <w:t xml:space="preserve">Confidential	</w:t>
    </w: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5D6D7E"/>
        <w:sz w:val="16"/>
        <w:szCs w:val="16"/>
      </w:rPr>
      <w:t xml:space="preserve">AiCaffe  |  Smart Routing &amp; Workshop UI Solutioning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2026-02-26T06:01:46.092Z</dcterms:created>
  <dcterms:modified xsi:type="dcterms:W3CDTF">2026-02-26T06:01:46.093Z</dcterms:modified>
</cp:coreProperties>
</file>

<file path=docProps/custom.xml><?xml version="1.0" encoding="utf-8"?>
<Properties xmlns="http://schemas.openxmlformats.org/officeDocument/2006/custom-properties" xmlns:vt="http://schemas.openxmlformats.org/officeDocument/2006/docPropsVTypes"/>
</file>