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40"/>
        <w:jc w:val="center"/>
      </w:pPr>
      <w:r>
        <w:rPr>
          <w:rFonts w:ascii="Calibri" w:cs="Calibri" w:eastAsia="Calibri" w:hAnsi="Calibri"/>
          <w:b/>
          <w:bCs/>
          <w:color w:val="1F3864"/>
          <w:sz w:val="60"/>
          <w:szCs w:val="60"/>
        </w:rPr>
        <w:t xml:space="preserve">UNITED RUBBER</w:t>
      </w:r>
    </w:p>
    <w:p>
      <w:pPr>
        <w:spacing w:after="200"/>
        <w:jc w:val="center"/>
      </w:pPr>
      <w:r>
        <w:rPr>
          <w:rFonts w:ascii="Calibri" w:cs="Calibri" w:eastAsia="Calibri" w:hAnsi="Calibri"/>
          <w:b/>
          <w:bCs/>
          <w:color w:val="2E75B6"/>
          <w:sz w:val="44"/>
          <w:szCs w:val="44"/>
        </w:rPr>
        <w:t xml:space="preserve">Sales Analytics Dashboard</w:t>
      </w:r>
    </w:p>
    <w:p>
      <w:pPr>
        <w:spacing w:after="200"/>
        <w:jc w:val="center"/>
      </w:pPr>
      <w:r>
        <w:rPr>
          <w:rFonts w:ascii="Calibri" w:cs="Calibri" w:eastAsia="Calibri" w:hAnsi="Calibri"/>
          <w:color w:val="D6E4F0"/>
          <w:sz w:val="28"/>
          <w:szCs w:val="28"/>
        </w:rPr>
        <w:t xml:space="preserve">━━━━━━━━━━━━━━━━━━━━━━━━━━━━━━━━━━━━━━━━</w:t>
      </w:r>
    </w:p>
    <w:p>
      <w:pPr>
        <w:spacing w:after="100"/>
        <w:jc w:val="center"/>
      </w:pPr>
      <w:r>
        <w:rPr>
          <w:rFonts w:ascii="Calibri" w:cs="Calibri" w:eastAsia="Calibri" w:hAnsi="Calibri"/>
          <w:color w:val="595959"/>
          <w:sz w:val="28"/>
          <w:szCs w:val="28"/>
        </w:rPr>
        <w:t xml:space="preserve">Project Overview, Dashboard Script &amp; Working Flow</w:t>
      </w:r>
    </w:p>
    <w:p>
      <w:pPr>
        <w:spacing w:after="300"/>
        <w:jc w:val="center"/>
      </w:pPr>
      <w:r>
        <w:rPr>
          <w:rFonts w:ascii="Calibri" w:cs="Calibri" w:eastAsia="Calibri" w:hAnsi="Calibri"/>
          <w:color w:val="595959"/>
          <w:sz w:val="28"/>
          <w:szCs w:val="28"/>
        </w:rPr>
        <w:t xml:space="preserve">Data Validation Report &amp; Root Cause Analysis</w:t>
      </w:r>
    </w:p>
    <w:p>
      <w:pPr>
        <w:spacing w:after="60"/>
        <w:jc w:val="center"/>
      </w:pPr>
      <w:r>
        <w:rPr>
          <w:rFonts w:ascii="Calibri" w:cs="Calibri" w:eastAsia="Calibri" w:hAnsi="Calibri"/>
          <w:b/>
          <w:bCs/>
          <w:color w:val="1F7391"/>
          <w:sz w:val="24"/>
          <w:szCs w:val="24"/>
        </w:rPr>
        <w:t xml:space="preserve">Data Period: April 2024 – January 2025</w:t>
      </w:r>
    </w:p>
    <w:p>
      <w:pPr>
        <w:spacing w:after="300"/>
        <w:jc w:val="center"/>
      </w:pPr>
      <w:r>
        <w:rPr>
          <w:rFonts w:ascii="Calibri" w:cs="Calibri" w:eastAsia="Calibri" w:hAnsi="Calibri"/>
          <w:color w:val="595959"/>
          <w:sz w:val="20"/>
          <w:szCs w:val="20"/>
        </w:rPr>
        <w:t xml:space="preserve">CRD Reference: Email from erp@unitedrubber.net dated January 29, 2025</w:t>
      </w:r>
    </w:p>
    <w:p>
      <w:pPr>
        <w:spacing w:after="60"/>
        <w:jc w:val="center"/>
      </w:pPr>
      <w:r>
        <w:rPr>
          <w:rFonts w:ascii="Calibri" w:cs="Calibri" w:eastAsia="Calibri" w:hAnsi="Calibri"/>
          <w:color w:val="595959"/>
          <w:sz w:val="22"/>
          <w:szCs w:val="22"/>
        </w:rPr>
        <w:t xml:space="preserve">Prepared by: Datalytics Foundry</w:t>
      </w:r>
    </w:p>
    <w:p>
      <w:pPr>
        <w:jc w:val="center"/>
      </w:pPr>
      <w:r>
        <w:rPr>
          <w:rFonts w:ascii="Calibri" w:cs="Calibri" w:eastAsia="Calibri" w:hAnsi="Calibri"/>
          <w:color w:val="595959"/>
          <w:sz w:val="22"/>
          <w:szCs w:val="22"/>
        </w:rPr>
        <w:t xml:space="preserve">Date: March 2026</w:t>
      </w:r>
    </w:p>
    <w:p>
      <w:pPr>
        <w:pStyle w:val="Heading1"/>
        <w:shd w:fill="1F3864" w:val="solid"/>
        <w:spacing w:after="200" w:before="300"/>
      </w:pPr>
      <w:r>
        <w:rPr>
          <w:rFonts w:ascii="Calibri" w:cs="Calibri" w:eastAsia="Calibri" w:hAnsi="Calibri"/>
          <w:b/>
          <w:bCs/>
          <w:color w:val="FFFFFF"/>
          <w:sz w:val="36"/>
          <w:szCs w:val="36"/>
        </w:rPr>
        <w:t xml:space="preserve">1. PROJECT OVERVIEW</w:t>
      </w:r>
    </w:p>
    <w:p>
      <w:pPr>
        <w:pStyle w:val="Heading2"/>
        <w:pBdr>
          <w:bottom w:val="single" w:color="2E75B6" w:sz="2"/>
        </w:pBdr>
        <w:spacing w:after="120" w:before="240"/>
      </w:pPr>
      <w:r>
        <w:rPr>
          <w:rFonts w:ascii="Calibri" w:cs="Calibri" w:eastAsia="Calibri" w:hAnsi="Calibri"/>
          <w:b/>
          <w:bCs/>
          <w:color w:val="1F3864"/>
          <w:sz w:val="28"/>
          <w:szCs w:val="28"/>
        </w:rPr>
        <w:t xml:space="preserve">1.1 About United Rubber Industries</w:t>
      </w:r>
    </w:p>
    <w:p>
      <w:pPr>
        <w:spacing w:after="120"/>
      </w:pPr>
      <w:r>
        <w:rPr>
          <w:rFonts w:ascii="Calibri" w:cs="Calibri" w:eastAsia="Calibri" w:hAnsi="Calibri"/>
          <w:sz w:val="22"/>
          <w:szCs w:val="22"/>
        </w:rPr>
        <w:t xml:space="preserve">United Rubber Industries Pvt. Ltd. is a leading Indian rubber manufacturing and distribution company, operating across 5 production and distribution sites:</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Site Code</w:t>
            </w:r>
          </w:p>
        </w:tc>
        <w:tc>
          <w:tcPr>
            <w:tcW w:type="pct" w:w="40%"/>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Full Name</w:t>
            </w:r>
          </w:p>
        </w:tc>
        <w:tc>
          <w:tcPr>
            <w:tcW w:type="pct" w:w="40%"/>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Function</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URIMH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United Rubber Industries — Maharashtra</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Primary manufacturing hub</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URIMP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United Rubber Industries — Madhya Pradesh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Manufacturing &amp; distribution</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URIPB</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United Rubber Industries — Punjab</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Regional distribution</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URIPU</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United Rubber Industries — Puducherry</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Manufacturing unit</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URIFB</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United Rubber Industries — (Export)</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Export operations</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company manages a high-volume domestic and export sales operation, processing approximately 6,500+ invoices per month across all sites, with annual domestic sales revenue of approximately ₹141 Cr and export revenue of approximately ₹205 Cr.</w:t>
      </w:r>
    </w:p>
    <w:p>
      <w:pPr>
        <w:pStyle w:val="Heading2"/>
        <w:pBdr>
          <w:bottom w:val="single" w:color="2E75B6" w:sz="2"/>
        </w:pBdr>
        <w:spacing w:after="120" w:before="240"/>
      </w:pPr>
      <w:r>
        <w:rPr>
          <w:rFonts w:ascii="Calibri" w:cs="Calibri" w:eastAsia="Calibri" w:hAnsi="Calibri"/>
          <w:b/>
          <w:bCs/>
          <w:color w:val="1F3864"/>
          <w:sz w:val="28"/>
          <w:szCs w:val="28"/>
        </w:rPr>
        <w:t xml:space="preserve">1.2 Why This Dashboard Was Created</w:t>
      </w:r>
    </w:p>
    <w:p>
      <w:pPr>
        <w:spacing w:after="120"/>
      </w:pPr>
      <w:r>
        <w:rPr>
          <w:rFonts w:ascii="Calibri" w:cs="Calibri" w:eastAsia="Calibri" w:hAnsi="Calibri"/>
          <w:sz w:val="22"/>
          <w:szCs w:val="22"/>
        </w:rPr>
        <w:t xml:space="preserve">United Rubber Industries uses Infor TSC ION ERP as its core enterprise system for managing sales invoices, inventory, and financial postings. While the ERP is excellent for transactional processing, it lacks modern analytical capabilities for:</w:t>
      </w:r>
    </w:p>
    <w:p>
      <w:pPr>
        <w:spacing w:after="80"/>
      </w:pP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Visual trend analysis of monthly sales performance across sites</w:t>
      </w:r>
    </w:p>
    <w:p>
      <w:pPr>
        <w:pStyle w:val="ListParagraph"/>
        <w:numPr>
          <w:ilvl w:val="0"/>
          <w:numId w:val="1"/>
        </w:numPr>
        <w:spacing w:after="60"/>
      </w:pPr>
      <w:r>
        <w:rPr>
          <w:rFonts w:ascii="Calibri" w:cs="Calibri" w:eastAsia="Calibri" w:hAnsi="Calibri"/>
          <w:sz w:val="22"/>
          <w:szCs w:val="22"/>
        </w:rPr>
        <w:t xml:space="preserve">Geographic distribution mapping of revenue by state and city</w:t>
      </w:r>
    </w:p>
    <w:p>
      <w:pPr>
        <w:pStyle w:val="ListParagraph"/>
        <w:numPr>
          <w:ilvl w:val="0"/>
          <w:numId w:val="1"/>
        </w:numPr>
        <w:spacing w:after="60"/>
      </w:pPr>
      <w:r>
        <w:rPr>
          <w:rFonts w:ascii="Calibri" w:cs="Calibri" w:eastAsia="Calibri" w:hAnsi="Calibri"/>
          <w:sz w:val="22"/>
          <w:szCs w:val="22"/>
        </w:rPr>
        <w:t xml:space="preserve">Quick executive-level KPI snapshots (Net Amount, Gross Amount, Tax, Rate, Sales Qty)</w:t>
      </w:r>
    </w:p>
    <w:p>
      <w:pPr>
        <w:pStyle w:val="ListParagraph"/>
        <w:numPr>
          <w:ilvl w:val="0"/>
          <w:numId w:val="1"/>
        </w:numPr>
        <w:spacing w:after="60"/>
      </w:pPr>
      <w:r>
        <w:rPr>
          <w:rFonts w:ascii="Calibri" w:cs="Calibri" w:eastAsia="Calibri" w:hAnsi="Calibri"/>
          <w:sz w:val="22"/>
          <w:szCs w:val="22"/>
        </w:rPr>
        <w:t xml:space="preserve">Interactive filtering by date range, site, customer, invoice type, and status</w:t>
      </w:r>
    </w:p>
    <w:p>
      <w:pPr>
        <w:pStyle w:val="ListParagraph"/>
        <w:numPr>
          <w:ilvl w:val="0"/>
          <w:numId w:val="1"/>
        </w:numPr>
        <w:spacing w:after="60"/>
      </w:pPr>
      <w:r>
        <w:rPr>
          <w:rFonts w:ascii="Calibri" w:cs="Calibri" w:eastAsia="Calibri" w:hAnsi="Calibri"/>
          <w:sz w:val="22"/>
          <w:szCs w:val="22"/>
        </w:rPr>
        <w:t xml:space="preserve">Cross-site comparison and domestic vs. export revenue breakdown</w:t>
      </w:r>
    </w:p>
    <w:p>
      <w:pPr>
        <w:pStyle w:val="ListParagraph"/>
        <w:numPr>
          <w:ilvl w:val="0"/>
          <w:numId w:val="1"/>
        </w:numPr>
        <w:spacing w:after="60"/>
      </w:pPr>
      <w:r>
        <w:rPr>
          <w:rFonts w:ascii="Calibri" w:cs="Calibri" w:eastAsia="Calibri" w:hAnsi="Calibri"/>
          <w:sz w:val="22"/>
          <w:szCs w:val="22"/>
        </w:rPr>
        <w:t xml:space="preserve">Customer concentration analysis (top 10 customers, pie charts)</w:t>
      </w:r>
    </w:p>
    <w:p>
      <w:pPr>
        <w:pStyle w:val="ListParagraph"/>
        <w:numPr>
          <w:ilvl w:val="0"/>
          <w:numId w:val="1"/>
        </w:numPr>
        <w:spacing w:after="60"/>
      </w:pPr>
      <w:r>
        <w:rPr>
          <w:rFonts w:ascii="Calibri" w:cs="Calibri" w:eastAsia="Calibri" w:hAnsi="Calibri"/>
          <w:sz w:val="22"/>
          <w:szCs w:val="22"/>
        </w:rPr>
        <w:t xml:space="preserve">Item category revenue distribution</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Sales Analytics Dashboard was developed to bridge this gap — providing United Rubber's management team with a modern, interactive, browser-based analytics tool that transforms raw ERP invoice data into actionable business insights.</w:t>
      </w:r>
    </w:p>
    <w:p>
      <w:pPr>
        <w:pStyle w:val="Heading2"/>
        <w:pBdr>
          <w:bottom w:val="single" w:color="2E75B6" w:sz="2"/>
        </w:pBdr>
        <w:spacing w:after="120" w:before="240"/>
      </w:pPr>
      <w:r>
        <w:rPr>
          <w:rFonts w:ascii="Calibri" w:cs="Calibri" w:eastAsia="Calibri" w:hAnsi="Calibri"/>
          <w:b/>
          <w:bCs/>
          <w:color w:val="1F3864"/>
          <w:sz w:val="28"/>
          <w:szCs w:val="28"/>
        </w:rPr>
        <w:t xml:space="preserve">1.3 What This Dashboard Does</w:t>
      </w:r>
    </w:p>
    <w:p>
      <w:pPr>
        <w:spacing w:after="120"/>
      </w:pPr>
      <w:r>
        <w:rPr>
          <w:rFonts w:ascii="Calibri" w:cs="Calibri" w:eastAsia="Calibri" w:hAnsi="Calibri"/>
          <w:sz w:val="22"/>
          <w:szCs w:val="22"/>
        </w:rPr>
        <w:t xml:space="preserve">The dashboard is a single-page web application with 4 analytical tabs, each serving a distinct business purpose. It connects directly to a PostgreSQL database that stores weekly snapshots of invoice data extracted from TSC ION ERP.</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Key capabilities:</w:t>
      </w:r>
    </w:p>
    <w:p>
      <w:pPr>
        <w:pStyle w:val="ListParagraph"/>
        <w:numPr>
          <w:ilvl w:val="0"/>
          <w:numId w:val="1"/>
        </w:numPr>
        <w:spacing w:after="60"/>
      </w:pPr>
      <w:r>
        <w:rPr>
          <w:rFonts w:ascii="Calibri" w:cs="Calibri" w:eastAsia="Calibri" w:hAnsi="Calibri"/>
          <w:sz w:val="22"/>
          <w:szCs w:val="22"/>
        </w:rPr>
        <w:t xml:space="preserve">Real-time querying of 65,000+ unique invoices covering April 2024 to present</w:t>
      </w:r>
    </w:p>
    <w:p>
      <w:pPr>
        <w:pStyle w:val="ListParagraph"/>
        <w:numPr>
          <w:ilvl w:val="0"/>
          <w:numId w:val="1"/>
        </w:numPr>
        <w:spacing w:after="60"/>
      </w:pPr>
      <w:r>
        <w:rPr>
          <w:rFonts w:ascii="Calibri" w:cs="Calibri" w:eastAsia="Calibri" w:hAnsi="Calibri"/>
          <w:sz w:val="22"/>
          <w:szCs w:val="22"/>
        </w:rPr>
        <w:t xml:space="preserve">Six interactive filters that dynamically update all charts, KPIs, and tables</w:t>
      </w:r>
    </w:p>
    <w:p>
      <w:pPr>
        <w:pStyle w:val="ListParagraph"/>
        <w:numPr>
          <w:ilvl w:val="0"/>
          <w:numId w:val="1"/>
        </w:numPr>
        <w:spacing w:after="60"/>
      </w:pPr>
      <w:r>
        <w:rPr>
          <w:rFonts w:ascii="Calibri" w:cs="Calibri" w:eastAsia="Calibri" w:hAnsi="Calibri"/>
          <w:sz w:val="22"/>
          <w:szCs w:val="22"/>
        </w:rPr>
        <w:t xml:space="preserve">Export to Excel and PDF for offline reporting and board presentations</w:t>
      </w:r>
    </w:p>
    <w:p>
      <w:pPr>
        <w:pStyle w:val="ListParagraph"/>
        <w:numPr>
          <w:ilvl w:val="0"/>
          <w:numId w:val="1"/>
        </w:numPr>
        <w:spacing w:after="60"/>
      </w:pPr>
      <w:r>
        <w:rPr>
          <w:rFonts w:ascii="Calibri" w:cs="Calibri" w:eastAsia="Calibri" w:hAnsi="Calibri"/>
          <w:sz w:val="22"/>
          <w:szCs w:val="22"/>
        </w:rPr>
        <w:t xml:space="preserve">Interactive India map showing state-wise revenue distribution</w:t>
      </w:r>
    </w:p>
    <w:p>
      <w:pPr>
        <w:pStyle w:val="ListParagraph"/>
        <w:numPr>
          <w:ilvl w:val="0"/>
          <w:numId w:val="1"/>
        </w:numPr>
        <w:spacing w:after="60"/>
      </w:pPr>
      <w:r>
        <w:rPr>
          <w:rFonts w:ascii="Calibri" w:cs="Calibri" w:eastAsia="Calibri" w:hAnsi="Calibri"/>
          <w:sz w:val="22"/>
          <w:szCs w:val="22"/>
        </w:rPr>
        <w:t xml:space="preserve">Automatic deduplication of weekly ETL snapshots to ensure accurate totals</w:t>
      </w:r>
    </w:p>
    <w:p>
      <w:pPr>
        <w:pStyle w:val="ListParagraph"/>
        <w:numPr>
          <w:ilvl w:val="0"/>
          <w:numId w:val="1"/>
        </w:numPr>
        <w:spacing w:after="60"/>
      </w:pPr>
      <w:r>
        <w:rPr>
          <w:rFonts w:ascii="Calibri" w:cs="Calibri" w:eastAsia="Calibri" w:hAnsi="Calibri"/>
          <w:sz w:val="22"/>
          <w:szCs w:val="22"/>
        </w:rPr>
        <w:t xml:space="preserve">CRD-validated accuracy: 90% exact match at 2-decimal precision across 40 data points</w:t>
      </w:r>
    </w:p>
    <w:p>
      <w:pPr>
        <w:pStyle w:val="Heading2"/>
        <w:pBdr>
          <w:bottom w:val="single" w:color="2E75B6" w:sz="2"/>
        </w:pBdr>
        <w:spacing w:after="120" w:before="240"/>
      </w:pPr>
      <w:r>
        <w:rPr>
          <w:rFonts w:ascii="Calibri" w:cs="Calibri" w:eastAsia="Calibri" w:hAnsi="Calibri"/>
          <w:b/>
          <w:bCs/>
          <w:color w:val="1F3864"/>
          <w:sz w:val="28"/>
          <w:szCs w:val="28"/>
        </w:rPr>
        <w:t xml:space="preserve">1.4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Layer</w:t>
            </w:r>
          </w:p>
        </w:tc>
        <w:tc>
          <w:tcPr>
            <w:tcW w:type="pct" w:w="35%"/>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Technology</w:t>
            </w:r>
          </w:p>
        </w:tc>
        <w:tc>
          <w:tcPr>
            <w:tcW w:type="pct" w:w="40%"/>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Purpose</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Backend</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Node.js + Express.js</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API server, query execution, data formatting</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Database</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PostgreSQL (DigitalOcean Managed)</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Secure cloud-hosted data storage with SSL</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Frontend</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HTML5 + CSS3 + Vanilla JavaScript</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Lightweight, no-framework SPA for speed</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Charts</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Chart.js with DataLabels plugin</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Interactive line, bar, pie, and stacked charts</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Maps</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Leaflet.js with GeoJSON</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Interactive India choropleth map</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Export</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ExcelJS + PDFKit</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One-click Excel and PDF report generation</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ERP Source</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Infor TSC ION ERP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Source of truth for all invoice data</w:t>
            </w:r>
          </w:p>
        </w:tc>
      </w:tr>
    </w:tbl>
    <w:p>
      <w:pPr>
        <w:pStyle w:val="Heading1"/>
        <w:shd w:fill="1F3864" w:val="solid"/>
        <w:spacing w:after="200" w:before="300"/>
      </w:pPr>
      <w:r>
        <w:rPr>
          <w:rFonts w:ascii="Calibri" w:cs="Calibri" w:eastAsia="Calibri" w:hAnsi="Calibri"/>
          <w:b/>
          <w:bCs/>
          <w:color w:val="FFFFFF"/>
          <w:sz w:val="36"/>
          <w:szCs w:val="36"/>
        </w:rPr>
        <w:t xml:space="preserve">2. DASHBOARD VALUE — THE STORY IT TELLS</w:t>
      </w:r>
    </w:p>
    <w:p>
      <w:pPr>
        <w:pStyle w:val="Heading2"/>
        <w:pBdr>
          <w:bottom w:val="single" w:color="2E75B6" w:sz="2"/>
        </w:pBdr>
        <w:spacing w:after="120" w:before="240"/>
      </w:pPr>
      <w:r>
        <w:rPr>
          <w:rFonts w:ascii="Calibri" w:cs="Calibri" w:eastAsia="Calibri" w:hAnsi="Calibri"/>
          <w:b/>
          <w:bCs/>
          <w:color w:val="1F3864"/>
          <w:sz w:val="28"/>
          <w:szCs w:val="28"/>
        </w:rPr>
        <w:t xml:space="preserve">2.1 The Business Challenge</w:t>
      </w:r>
    </w:p>
    <w:p>
      <w:pPr>
        <w:spacing w:after="120"/>
      </w:pPr>
      <w:r>
        <w:rPr>
          <w:rFonts w:ascii="Calibri" w:cs="Calibri" w:eastAsia="Calibri" w:hAnsi="Calibri"/>
          <w:sz w:val="22"/>
          <w:szCs w:val="22"/>
        </w:rPr>
        <w:t xml:space="preserve">Before this dashboard, United Rubber's management team faced several challenges:</w:t>
      </w:r>
    </w:p>
    <w:p>
      <w:pPr>
        <w:spacing w:after="80"/>
      </w:pPr>
      <w:r>
        <w:rPr>
          <w:rFonts w:ascii="Calibri" w:cs="Calibri" w:eastAsia="Calibri" w:hAnsi="Calibri"/>
          <w:sz w:val="22"/>
          <w:szCs w:val="22"/>
        </w:rPr>
        <w:t xml:space="preserve"/>
      </w:r>
    </w:p>
    <w:p>
      <w:pPr>
        <w:spacing w:after="120"/>
      </w:pPr>
      <w:r>
        <w:rPr>
          <w:rFonts w:ascii="Calibri" w:cs="Calibri" w:eastAsia="Calibri" w:hAnsi="Calibri"/>
          <w:b/>
          <w:bCs/>
          <w:color w:val="1F3864"/>
          <w:sz w:val="24"/>
          <w:szCs w:val="24"/>
        </w:rPr>
        <w:t xml:space="preserve">1. </w:t>
      </w:r>
      <w:r>
        <w:rPr>
          <w:rFonts w:ascii="Calibri" w:cs="Calibri" w:eastAsia="Calibri" w:hAnsi="Calibri"/>
          <w:sz w:val="22"/>
          <w:szCs w:val="22"/>
        </w:rPr>
        <w:t xml:space="preserve">Monthly sales reports were generated manually from ERP exports, taking hours of effort.</w:t>
      </w:r>
    </w:p>
    <w:p>
      <w:pPr>
        <w:spacing w:after="120"/>
      </w:pPr>
      <w:r>
        <w:rPr>
          <w:rFonts w:ascii="Calibri" w:cs="Calibri" w:eastAsia="Calibri" w:hAnsi="Calibri"/>
          <w:b/>
          <w:bCs/>
          <w:color w:val="1F3864"/>
          <w:sz w:val="24"/>
          <w:szCs w:val="24"/>
        </w:rPr>
        <w:t xml:space="preserve">2. </w:t>
      </w:r>
      <w:r>
        <w:rPr>
          <w:rFonts w:ascii="Calibri" w:cs="Calibri" w:eastAsia="Calibri" w:hAnsi="Calibri"/>
          <w:sz w:val="22"/>
          <w:szCs w:val="22"/>
        </w:rPr>
        <w:t xml:space="preserve">Cross-site comparison required opening multiple ERP screens and manually aligning data.</w:t>
      </w:r>
    </w:p>
    <w:p>
      <w:pPr>
        <w:spacing w:after="120"/>
      </w:pPr>
      <w:r>
        <w:rPr>
          <w:rFonts w:ascii="Calibri" w:cs="Calibri" w:eastAsia="Calibri" w:hAnsi="Calibri"/>
          <w:b/>
          <w:bCs/>
          <w:color w:val="1F3864"/>
          <w:sz w:val="24"/>
          <w:szCs w:val="24"/>
        </w:rPr>
        <w:t xml:space="preserve">3. </w:t>
      </w:r>
      <w:r>
        <w:rPr>
          <w:rFonts w:ascii="Calibri" w:cs="Calibri" w:eastAsia="Calibri" w:hAnsi="Calibri"/>
          <w:sz w:val="22"/>
          <w:szCs w:val="22"/>
        </w:rPr>
        <w:t xml:space="preserve">Geographic revenue distribution was invisible — management couldn't see which states or cities were growing.</w:t>
      </w:r>
    </w:p>
    <w:p>
      <w:pPr>
        <w:spacing w:after="120"/>
      </w:pPr>
      <w:r>
        <w:rPr>
          <w:rFonts w:ascii="Calibri" w:cs="Calibri" w:eastAsia="Calibri" w:hAnsi="Calibri"/>
          <w:b/>
          <w:bCs/>
          <w:color w:val="1F3864"/>
          <w:sz w:val="24"/>
          <w:szCs w:val="24"/>
        </w:rPr>
        <w:t xml:space="preserve">4. </w:t>
      </w:r>
      <w:r>
        <w:rPr>
          <w:rFonts w:ascii="Calibri" w:cs="Calibri" w:eastAsia="Calibri" w:hAnsi="Calibri"/>
          <w:sz w:val="22"/>
          <w:szCs w:val="22"/>
        </w:rPr>
        <w:t xml:space="preserve">Customer concentration risk was unknown — were they too dependent on a few large buyers?</w:t>
      </w:r>
    </w:p>
    <w:p>
      <w:pPr>
        <w:spacing w:after="120"/>
      </w:pPr>
      <w:r>
        <w:rPr>
          <w:rFonts w:ascii="Calibri" w:cs="Calibri" w:eastAsia="Calibri" w:hAnsi="Calibri"/>
          <w:b/>
          <w:bCs/>
          <w:color w:val="1F3864"/>
          <w:sz w:val="24"/>
          <w:szCs w:val="24"/>
        </w:rPr>
        <w:t xml:space="preserve">5. </w:t>
      </w:r>
      <w:r>
        <w:rPr>
          <w:rFonts w:ascii="Calibri" w:cs="Calibri" w:eastAsia="Calibri" w:hAnsi="Calibri"/>
          <w:sz w:val="22"/>
          <w:szCs w:val="22"/>
        </w:rPr>
        <w:t xml:space="preserve">Trend analysis required Excel spreadsheets that were outdated by the time they were prepared.</w:t>
      </w:r>
    </w:p>
    <w:p>
      <w:pPr>
        <w:spacing w:after="120"/>
      </w:pPr>
      <w:r>
        <w:rPr>
          <w:rFonts w:ascii="Calibri" w:cs="Calibri" w:eastAsia="Calibri" w:hAnsi="Calibri"/>
          <w:b/>
          <w:bCs/>
          <w:color w:val="1F3864"/>
          <w:sz w:val="24"/>
          <w:szCs w:val="24"/>
        </w:rPr>
        <w:t xml:space="preserve">6. </w:t>
      </w:r>
      <w:r>
        <w:rPr>
          <w:rFonts w:ascii="Calibri" w:cs="Calibri" w:eastAsia="Calibri" w:hAnsi="Calibri"/>
          <w:sz w:val="22"/>
          <w:szCs w:val="22"/>
        </w:rPr>
        <w:t xml:space="preserve">No single view existed that showed the complete picture: revenue, geography, customers, and invoices together.</w:t>
      </w:r>
    </w:p>
    <w:p>
      <w:pPr>
        <w:pStyle w:val="Heading2"/>
        <w:pBdr>
          <w:bottom w:val="single" w:color="2E75B6" w:sz="2"/>
        </w:pBdr>
        <w:spacing w:after="120" w:before="240"/>
      </w:pPr>
      <w:r>
        <w:rPr>
          <w:rFonts w:ascii="Calibri" w:cs="Calibri" w:eastAsia="Calibri" w:hAnsi="Calibri"/>
          <w:b/>
          <w:bCs/>
          <w:color w:val="1F3864"/>
          <w:sz w:val="28"/>
          <w:szCs w:val="28"/>
        </w:rPr>
        <w:t xml:space="preserve">2.2 The Dashboard Solution</w:t>
      </w:r>
    </w:p>
    <w:p>
      <w:pPr>
        <w:spacing w:after="120"/>
      </w:pPr>
      <w:r>
        <w:rPr>
          <w:rFonts w:ascii="Calibri" w:cs="Calibri" w:eastAsia="Calibri" w:hAnsi="Calibri"/>
          <w:sz w:val="22"/>
          <w:szCs w:val="22"/>
        </w:rPr>
        <w:t xml:space="preserve">This dashboard transforms raw ERP data into four distinct analytical views, each answering critical business questions:</w:t>
      </w:r>
    </w:p>
    <w:p>
      <w:pPr>
        <w:pStyle w:val="Heading3"/>
        <w:spacing w:after="100" w:before="200"/>
      </w:pPr>
      <w:r>
        <w:rPr>
          <w:rFonts w:ascii="Calibri" w:cs="Calibri" w:eastAsia="Calibri" w:hAnsi="Calibri"/>
          <w:b/>
          <w:bCs/>
          <w:color w:val="2E75B6"/>
          <w:sz w:val="24"/>
          <w:szCs w:val="24"/>
        </w:rPr>
        <w:t xml:space="preserve">Tab 1: Summary Analysis — "How is our business performing?"</w:t>
      </w:r>
    </w:p>
    <w:p>
      <w:pPr>
        <w:spacing w:after="120"/>
      </w:pPr>
      <w:r>
        <w:rPr>
          <w:rFonts w:ascii="Calibri" w:cs="Calibri" w:eastAsia="Calibri" w:hAnsi="Calibri"/>
          <w:sz w:val="22"/>
          <w:szCs w:val="22"/>
        </w:rPr>
        <w:t xml:space="preserve">This is the executive overview tab. It answers the most fundamental question: are we growing or declining?</w:t>
      </w:r>
    </w:p>
    <w:p>
      <w:pPr>
        <w:spacing w:after="80"/>
      </w:pP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Monthly trend line shows Net and Gross revenue trajectory over the full period (Apr 2024 – Jan 2025)</w:t>
      </w:r>
    </w:p>
    <w:p>
      <w:pPr>
        <w:pStyle w:val="ListParagraph"/>
        <w:numPr>
          <w:ilvl w:val="0"/>
          <w:numId w:val="1"/>
        </w:numPr>
        <w:spacing w:after="60"/>
      </w:pPr>
      <w:r>
        <w:rPr>
          <w:rFonts w:ascii="Calibri" w:cs="Calibri" w:eastAsia="Calibri" w:hAnsi="Calibri"/>
          <w:sz w:val="22"/>
          <w:szCs w:val="22"/>
        </w:rPr>
        <w:t xml:space="preserve">Site-wise stacked bar chart reveals which sites are driving growth and which need attention</w:t>
      </w:r>
    </w:p>
    <w:p>
      <w:pPr>
        <w:pStyle w:val="ListParagraph"/>
        <w:numPr>
          <w:ilvl w:val="0"/>
          <w:numId w:val="1"/>
        </w:numPr>
        <w:spacing w:after="60"/>
      </w:pPr>
      <w:r>
        <w:rPr>
          <w:rFonts w:ascii="Calibri" w:cs="Calibri" w:eastAsia="Calibri" w:hAnsi="Calibri"/>
          <w:sz w:val="22"/>
          <w:szCs w:val="22"/>
        </w:rPr>
        <w:t xml:space="preserve">Domestic pivot table provides the exact monthly breakdown by site — the same format as the CRD reference</w:t>
      </w:r>
    </w:p>
    <w:p>
      <w:pPr>
        <w:pStyle w:val="ListParagraph"/>
        <w:numPr>
          <w:ilvl w:val="0"/>
          <w:numId w:val="1"/>
        </w:numPr>
        <w:spacing w:after="60"/>
      </w:pPr>
      <w:r>
        <w:rPr>
          <w:rFonts w:ascii="Calibri" w:cs="Calibri" w:eastAsia="Calibri" w:hAnsi="Calibri"/>
          <w:sz w:val="22"/>
          <w:szCs w:val="22"/>
        </w:rPr>
        <w:t xml:space="preserve">KPIs show the date range, total Net Amount, and total Gross Amount at a glance</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Business Value: Management can instantly see seasonal patterns (e.g., Oct 2024 peak at ₹16.41 Cr), identify underperforming sites, and track month-over-month trends without waiting for manual reports.</w:t>
      </w:r>
    </w:p>
    <w:p>
      <w:pPr>
        <w:pStyle w:val="Heading3"/>
        <w:spacing w:after="100" w:before="200"/>
      </w:pPr>
      <w:r>
        <w:rPr>
          <w:rFonts w:ascii="Calibri" w:cs="Calibri" w:eastAsia="Calibri" w:hAnsi="Calibri"/>
          <w:b/>
          <w:bCs/>
          <w:color w:val="2E75B6"/>
          <w:sz w:val="24"/>
          <w:szCs w:val="24"/>
        </w:rPr>
        <w:t xml:space="preserve">Tab 2: Sales Details Dashboard — "What drives our revenue?"</w:t>
      </w:r>
    </w:p>
    <w:p>
      <w:pPr>
        <w:spacing w:after="120"/>
      </w:pPr>
      <w:r>
        <w:rPr>
          <w:rFonts w:ascii="Calibri" w:cs="Calibri" w:eastAsia="Calibri" w:hAnsi="Calibri"/>
          <w:sz w:val="22"/>
          <w:szCs w:val="22"/>
        </w:rPr>
        <w:t xml:space="preserve">This tab dives deeper into the composition of revenue. It answers: who are our biggest customers, what products sell the most, and what are the detailed financial metrics?</w:t>
      </w:r>
    </w:p>
    <w:p>
      <w:pPr>
        <w:spacing w:after="80"/>
      </w:pP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Six KPIs: Net Amount (₹222.28 Cr), Gross Amount (₹265 Cr), Rate, Tax, Sales Qty, Invoice Count (58,300)</w:t>
      </w:r>
    </w:p>
    <w:p>
      <w:pPr>
        <w:pStyle w:val="ListParagraph"/>
        <w:numPr>
          <w:ilvl w:val="0"/>
          <w:numId w:val="1"/>
        </w:numPr>
        <w:spacing w:after="60"/>
      </w:pPr>
      <w:r>
        <w:rPr>
          <w:rFonts w:ascii="Calibri" w:cs="Calibri" w:eastAsia="Calibri" w:hAnsi="Calibri"/>
          <w:sz w:val="22"/>
          <w:szCs w:val="22"/>
        </w:rPr>
        <w:t xml:space="preserve">Customer pie chart shows revenue concentration — how much revenue comes from the top customers</w:t>
      </w:r>
    </w:p>
    <w:p>
      <w:pPr>
        <w:pStyle w:val="ListParagraph"/>
        <w:numPr>
          <w:ilvl w:val="0"/>
          <w:numId w:val="1"/>
        </w:numPr>
        <w:spacing w:after="60"/>
      </w:pPr>
      <w:r>
        <w:rPr>
          <w:rFonts w:ascii="Calibri" w:cs="Calibri" w:eastAsia="Calibri" w:hAnsi="Calibri"/>
          <w:sz w:val="22"/>
          <w:szCs w:val="22"/>
        </w:rPr>
        <w:t xml:space="preserve">Top 10 customers bar chart identifies the most valuable business relationships</w:t>
      </w:r>
    </w:p>
    <w:p>
      <w:pPr>
        <w:pStyle w:val="ListParagraph"/>
        <w:numPr>
          <w:ilvl w:val="0"/>
          <w:numId w:val="1"/>
        </w:numPr>
        <w:spacing w:after="60"/>
      </w:pPr>
      <w:r>
        <w:rPr>
          <w:rFonts w:ascii="Calibri" w:cs="Calibri" w:eastAsia="Calibri" w:hAnsi="Calibri"/>
          <w:sz w:val="22"/>
          <w:szCs w:val="22"/>
        </w:rPr>
        <w:t xml:space="preserve">Item category bar chart reveals which product categories generate the most revenue</w:t>
      </w:r>
    </w:p>
    <w:p>
      <w:pPr>
        <w:pStyle w:val="ListParagraph"/>
        <w:numPr>
          <w:ilvl w:val="0"/>
          <w:numId w:val="1"/>
        </w:numPr>
        <w:spacing w:after="60"/>
      </w:pPr>
      <w:r>
        <w:rPr>
          <w:rFonts w:ascii="Calibri" w:cs="Calibri" w:eastAsia="Calibri" w:hAnsi="Calibri"/>
          <w:sz w:val="22"/>
          <w:szCs w:val="22"/>
        </w:rPr>
        <w:t xml:space="preserve">Paginated invoice table enables drill-down to individual transaction level</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Business Value: Sales managers can identify customer concentration risk, spot emerging product categories, and track the relationship between gross and net amounts (discount/tax impact).</w:t>
      </w:r>
    </w:p>
    <w:p>
      <w:pPr>
        <w:pStyle w:val="Heading3"/>
        <w:spacing w:after="100" w:before="200"/>
      </w:pPr>
      <w:r>
        <w:rPr>
          <w:rFonts w:ascii="Calibri" w:cs="Calibri" w:eastAsia="Calibri" w:hAnsi="Calibri"/>
          <w:b/>
          <w:bCs/>
          <w:color w:val="2E75B6"/>
          <w:sz w:val="24"/>
          <w:szCs w:val="24"/>
        </w:rPr>
        <w:t xml:space="preserve">Tab 3: Distribution Map — "Where are we selling?"</w:t>
      </w:r>
    </w:p>
    <w:p>
      <w:pPr>
        <w:spacing w:after="120"/>
      </w:pPr>
      <w:r>
        <w:rPr>
          <w:rFonts w:ascii="Calibri" w:cs="Calibri" w:eastAsia="Calibri" w:hAnsi="Calibri"/>
          <w:sz w:val="22"/>
          <w:szCs w:val="22"/>
        </w:rPr>
        <w:t xml:space="preserve">This is the geographic intelligence tab. It transforms invoice shipping addresses into a visual map of India showing revenue distribution by state.</w:t>
      </w:r>
    </w:p>
    <w:p>
      <w:pPr>
        <w:spacing w:after="80"/>
      </w:pP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Interactive India choropleth map with colour-coded states by revenue intensity</w:t>
      </w:r>
    </w:p>
    <w:p>
      <w:pPr>
        <w:pStyle w:val="ListParagraph"/>
        <w:numPr>
          <w:ilvl w:val="0"/>
          <w:numId w:val="1"/>
        </w:numPr>
        <w:spacing w:after="60"/>
      </w:pPr>
      <w:r>
        <w:rPr>
          <w:rFonts w:ascii="Calibri" w:cs="Calibri" w:eastAsia="Calibri" w:hAnsi="Calibri"/>
          <w:sz w:val="22"/>
          <w:szCs w:val="22"/>
        </w:rPr>
        <w:t xml:space="preserve">State revenue bar chart ranks all states by contribution</w:t>
      </w:r>
    </w:p>
    <w:p>
      <w:pPr>
        <w:pStyle w:val="ListParagraph"/>
        <w:numPr>
          <w:ilvl w:val="0"/>
          <w:numId w:val="1"/>
        </w:numPr>
        <w:spacing w:after="60"/>
      </w:pPr>
      <w:r>
        <w:rPr>
          <w:rFonts w:ascii="Calibri" w:cs="Calibri" w:eastAsia="Calibri" w:hAnsi="Calibri"/>
          <w:sz w:val="22"/>
          <w:szCs w:val="22"/>
        </w:rPr>
        <w:t xml:space="preserve">City-wise quantity chart shows the top 20 cities by sales volume</w:t>
      </w:r>
    </w:p>
    <w:p>
      <w:pPr>
        <w:pStyle w:val="ListParagraph"/>
        <w:numPr>
          <w:ilvl w:val="0"/>
          <w:numId w:val="1"/>
        </w:numPr>
        <w:spacing w:after="60"/>
      </w:pPr>
      <w:r>
        <w:rPr>
          <w:rFonts w:ascii="Calibri" w:cs="Calibri" w:eastAsia="Calibri" w:hAnsi="Calibri"/>
          <w:sz w:val="22"/>
          <w:szCs w:val="22"/>
        </w:rPr>
        <w:t xml:space="preserve">KPIs: States covered, Total revenue, Top performing state</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Business Value: Management can identify geographic expansion opportunities, see which states are underpenetrated, and make informed decisions about distribution network investments.</w:t>
      </w:r>
    </w:p>
    <w:p>
      <w:pPr>
        <w:pStyle w:val="Heading3"/>
        <w:spacing w:after="100" w:before="200"/>
      </w:pPr>
      <w:r>
        <w:rPr>
          <w:rFonts w:ascii="Calibri" w:cs="Calibri" w:eastAsia="Calibri" w:hAnsi="Calibri"/>
          <w:b/>
          <w:bCs/>
          <w:color w:val="2E75B6"/>
          <w:sz w:val="24"/>
          <w:szCs w:val="24"/>
        </w:rPr>
        <w:t xml:space="preserve">Tab 4: Invoice Summary — "Show me every invoice"</w:t>
      </w:r>
    </w:p>
    <w:p>
      <w:pPr>
        <w:spacing w:after="120"/>
      </w:pPr>
      <w:r>
        <w:rPr>
          <w:rFonts w:ascii="Calibri" w:cs="Calibri" w:eastAsia="Calibri" w:hAnsi="Calibri"/>
          <w:sz w:val="22"/>
          <w:szCs w:val="22"/>
        </w:rPr>
        <w:t xml:space="preserve">This is the operational detail tab. It provides a complete, searchable, sortable list of every invoice with 15 data columns.</w:t>
      </w:r>
    </w:p>
    <w:p>
      <w:pPr>
        <w:spacing w:after="80"/>
      </w:pP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Full invoice detail: Invoice No, Date, Site, Customer, Type, Status, Net, Tax, Gross, Charges, Discount, State, City, Party Group, Employee</w:t>
      </w:r>
    </w:p>
    <w:p>
      <w:pPr>
        <w:pStyle w:val="ListParagraph"/>
        <w:numPr>
          <w:ilvl w:val="0"/>
          <w:numId w:val="1"/>
        </w:numPr>
        <w:spacing w:after="60"/>
      </w:pPr>
      <w:r>
        <w:rPr>
          <w:rFonts w:ascii="Calibri" w:cs="Calibri" w:eastAsia="Calibri" w:hAnsi="Calibri"/>
          <w:sz w:val="22"/>
          <w:szCs w:val="22"/>
        </w:rPr>
        <w:t xml:space="preserve">KPIs: Invoice count, Total gross, Maximum single invoice value, Unique customers</w:t>
      </w:r>
    </w:p>
    <w:p>
      <w:pPr>
        <w:pStyle w:val="ListParagraph"/>
        <w:numPr>
          <w:ilvl w:val="0"/>
          <w:numId w:val="1"/>
        </w:numPr>
        <w:spacing w:after="60"/>
      </w:pPr>
      <w:r>
        <w:rPr>
          <w:rFonts w:ascii="Calibri" w:cs="Calibri" w:eastAsia="Calibri" w:hAnsi="Calibri"/>
          <w:sz w:val="22"/>
          <w:szCs w:val="22"/>
        </w:rPr>
        <w:t xml:space="preserve">Sortable columns for quick analysis (e.g., sort by amount to find largest invoices)</w:t>
      </w:r>
    </w:p>
    <w:p>
      <w:pPr>
        <w:pStyle w:val="ListParagraph"/>
        <w:numPr>
          <w:ilvl w:val="0"/>
          <w:numId w:val="1"/>
        </w:numPr>
        <w:spacing w:after="60"/>
      </w:pPr>
      <w:r>
        <w:rPr>
          <w:rFonts w:ascii="Calibri" w:cs="Calibri" w:eastAsia="Calibri" w:hAnsi="Calibri"/>
          <w:sz w:val="22"/>
          <w:szCs w:val="22"/>
        </w:rPr>
        <w:t xml:space="preserve">Paginated for performance — handles 65,000+ invoices without browser slowdown</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Business Value: Finance and accounts teams can quickly look up any invoice, verify amounts, and cross-reference with ERP records for audit and reconciliation purposes.</w:t>
      </w:r>
    </w:p>
    <w:p>
      <w:pPr>
        <w:pStyle w:val="Heading2"/>
        <w:pBdr>
          <w:bottom w:val="single" w:color="2E75B6" w:sz="2"/>
        </w:pBdr>
        <w:spacing w:after="120" w:before="240"/>
      </w:pPr>
      <w:r>
        <w:rPr>
          <w:rFonts w:ascii="Calibri" w:cs="Calibri" w:eastAsia="Calibri" w:hAnsi="Calibri"/>
          <w:b/>
          <w:bCs/>
          <w:color w:val="1F3864"/>
          <w:sz w:val="28"/>
          <w:szCs w:val="28"/>
        </w:rPr>
        <w:t xml:space="preserve">2.3 The Combined Story</w:t>
      </w:r>
    </w:p>
    <w:p>
      <w:pPr>
        <w:spacing w:after="120"/>
      </w:pPr>
      <w:r>
        <w:rPr>
          <w:rFonts w:ascii="Calibri" w:cs="Calibri" w:eastAsia="Calibri" w:hAnsi="Calibri"/>
          <w:sz w:val="22"/>
          <w:szCs w:val="22"/>
        </w:rPr>
        <w:t xml:space="preserve">Together, these four tabs tell a complete business story:</w:t>
      </w:r>
    </w:p>
    <w:p>
      <w:pPr>
        <w:spacing w:after="80"/>
      </w:pPr>
      <w:r>
        <w:rPr>
          <w:rFonts w:ascii="Calibri" w:cs="Calibri" w:eastAsia="Calibri" w:hAnsi="Calibri"/>
          <w:sz w:val="22"/>
          <w:szCs w:val="22"/>
        </w:rPr>
        <w:t xml:space="preserve"/>
      </w:r>
    </w:p>
    <w:p>
      <w:pPr>
        <w:spacing w:after="120"/>
      </w:pPr>
      <w:r>
        <w:rPr>
          <w:rFonts w:ascii="Calibri" w:cs="Calibri" w:eastAsia="Calibri" w:hAnsi="Calibri"/>
          <w:b/>
          <w:bCs/>
          <w:color w:val="1F3864"/>
          <w:sz w:val="24"/>
          <w:szCs w:val="24"/>
        </w:rPr>
        <w:t xml:space="preserve">1. </w:t>
      </w:r>
      <w:r>
        <w:rPr>
          <w:rFonts w:ascii="Calibri" w:cs="Calibri" w:eastAsia="Calibri" w:hAnsi="Calibri"/>
          <w:sz w:val="22"/>
          <w:szCs w:val="22"/>
        </w:rPr>
        <w:t xml:space="preserve">Summary Analysis shows WHERE the business stands — the big picture trends and site performance.</w:t>
      </w:r>
    </w:p>
    <w:p>
      <w:pPr>
        <w:spacing w:after="120"/>
      </w:pPr>
      <w:r>
        <w:rPr>
          <w:rFonts w:ascii="Calibri" w:cs="Calibri" w:eastAsia="Calibri" w:hAnsi="Calibri"/>
          <w:b/>
          <w:bCs/>
          <w:color w:val="1F3864"/>
          <w:sz w:val="24"/>
          <w:szCs w:val="24"/>
        </w:rPr>
        <w:t xml:space="preserve">2. </w:t>
      </w:r>
      <w:r>
        <w:rPr>
          <w:rFonts w:ascii="Calibri" w:cs="Calibri" w:eastAsia="Calibri" w:hAnsi="Calibri"/>
          <w:sz w:val="22"/>
          <w:szCs w:val="22"/>
        </w:rPr>
        <w:t xml:space="preserve">Sales Details shows WHAT drives revenue — customers, products, and financial metrics.</w:t>
      </w:r>
    </w:p>
    <w:p>
      <w:pPr>
        <w:spacing w:after="120"/>
      </w:pPr>
      <w:r>
        <w:rPr>
          <w:rFonts w:ascii="Calibri" w:cs="Calibri" w:eastAsia="Calibri" w:hAnsi="Calibri"/>
          <w:b/>
          <w:bCs/>
          <w:color w:val="1F3864"/>
          <w:sz w:val="24"/>
          <w:szCs w:val="24"/>
        </w:rPr>
        <w:t xml:space="preserve">3. </w:t>
      </w:r>
      <w:r>
        <w:rPr>
          <w:rFonts w:ascii="Calibri" w:cs="Calibri" w:eastAsia="Calibri" w:hAnsi="Calibri"/>
          <w:sz w:val="22"/>
          <w:szCs w:val="22"/>
        </w:rPr>
        <w:t xml:space="preserve">Distribution Map shows WHERE the revenue comes from geographically — states and cities.</w:t>
      </w:r>
    </w:p>
    <w:p>
      <w:pPr>
        <w:spacing w:after="120"/>
      </w:pPr>
      <w:r>
        <w:rPr>
          <w:rFonts w:ascii="Calibri" w:cs="Calibri" w:eastAsia="Calibri" w:hAnsi="Calibri"/>
          <w:b/>
          <w:bCs/>
          <w:color w:val="1F3864"/>
          <w:sz w:val="24"/>
          <w:szCs w:val="24"/>
        </w:rPr>
        <w:t xml:space="preserve">4. </w:t>
      </w:r>
      <w:r>
        <w:rPr>
          <w:rFonts w:ascii="Calibri" w:cs="Calibri" w:eastAsia="Calibri" w:hAnsi="Calibri"/>
          <w:sz w:val="22"/>
          <w:szCs w:val="22"/>
        </w:rPr>
        <w:t xml:space="preserve">Invoice Summary provides the HOW — every individual transaction for verification and audit.</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This top-down analytical flow (Overview → Composition → Geography → Detail) follows the standard business intelligence pyramid, enabling management to start with high-level insights and drill down to specific invoices as needed.</w:t>
      </w:r>
    </w:p>
    <w:p>
      <w:pPr>
        <w:pStyle w:val="Heading1"/>
        <w:shd w:fill="1F3864" w:val="solid"/>
        <w:spacing w:after="200" w:before="300"/>
      </w:pPr>
      <w:r>
        <w:rPr>
          <w:rFonts w:ascii="Calibri" w:cs="Calibri" w:eastAsia="Calibri" w:hAnsi="Calibri"/>
          <w:b/>
          <w:bCs/>
          <w:color w:val="FFFFFF"/>
          <w:sz w:val="36"/>
          <w:szCs w:val="36"/>
        </w:rPr>
        <w:t xml:space="preserve">3. DASHBOARD WORKING FLOW</w:t>
      </w:r>
    </w:p>
    <w:p>
      <w:pPr>
        <w:pStyle w:val="Heading2"/>
        <w:pBdr>
          <w:bottom w:val="single" w:color="2E75B6" w:sz="2"/>
        </w:pBdr>
        <w:spacing w:after="120" w:before="240"/>
      </w:pPr>
      <w:r>
        <w:rPr>
          <w:rFonts w:ascii="Calibri" w:cs="Calibri" w:eastAsia="Calibri" w:hAnsi="Calibri"/>
          <w:b/>
          <w:bCs/>
          <w:color w:val="1F3864"/>
          <w:sz w:val="28"/>
          <w:szCs w:val="28"/>
        </w:rPr>
        <w:t xml:space="preserve">3.1 Data Flow — From ERP to Dashboard</w:t>
      </w:r>
    </w:p>
    <w:p>
      <w:pPr>
        <w:pStyle w:val="Heading3"/>
        <w:spacing w:after="100" w:before="200"/>
      </w:pPr>
      <w:r>
        <w:rPr>
          <w:rFonts w:ascii="Calibri" w:cs="Calibri" w:eastAsia="Calibri" w:hAnsi="Calibri"/>
          <w:b/>
          <w:bCs/>
          <w:color w:val="2E75B6"/>
          <w:sz w:val="24"/>
          <w:szCs w:val="24"/>
        </w:rPr>
        <w:t xml:space="preserve">Step 1: Data Extraction from TSC ION ERP</w:t>
      </w:r>
    </w:p>
    <w:p>
      <w:pPr>
        <w:spacing w:after="120"/>
      </w:pPr>
      <w:r>
        <w:rPr>
          <w:rFonts w:ascii="Calibri" w:cs="Calibri" w:eastAsia="Calibri" w:hAnsi="Calibri"/>
          <w:sz w:val="22"/>
          <w:szCs w:val="22"/>
        </w:rPr>
        <w:t xml:space="preserve">Invoice data is extracted from Infor TSC ION ERP on a weekly basis (4 extractions per month, labelled w1, w2, w3, w4). Each weekly extraction captures a snapshot of all invoices visible in the ERP at that point in time.</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This creates weekly partition tables in the database:</w:t>
      </w:r>
    </w:p>
    <w:p>
      <w:pPr>
        <w:pStyle w:val="ListParagraph"/>
        <w:numPr>
          <w:ilvl w:val="0"/>
          <w:numId w:val="1"/>
        </w:numPr>
        <w:spacing w:after="60"/>
      </w:pPr>
      <w:r>
        <w:rPr>
          <w:rFonts w:ascii="Calibri" w:cs="Calibri" w:eastAsia="Calibri" w:hAnsi="Calibri"/>
          <w:sz w:val="22"/>
          <w:szCs w:val="22"/>
        </w:rPr>
        <w:t xml:space="preserve">LandingStage1: Raw weekly snapshots (e.g., mf_sales_si_siheader_2024_dec_w1 through w4)</w:t>
      </w:r>
    </w:p>
    <w:p>
      <w:pPr>
        <w:pStyle w:val="ListParagraph"/>
        <w:numPr>
          <w:ilvl w:val="0"/>
          <w:numId w:val="1"/>
        </w:numPr>
        <w:spacing w:after="60"/>
      </w:pPr>
      <w:r>
        <w:rPr>
          <w:rFonts w:ascii="Calibri" w:cs="Calibri" w:eastAsia="Calibri" w:hAnsi="Calibri"/>
          <w:sz w:val="22"/>
          <w:szCs w:val="22"/>
        </w:rPr>
        <w:t xml:space="preserve">LandingStage2: Consolidated "all" table merging all weekly snapshots into a single view</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Because the same invoice appears in multiple weekly snapshots (typically 3-4 times), the consolidated table contains approximately 265,000 rows representing approximately 65,000 unique invoices.</w:t>
      </w:r>
    </w:p>
    <w:p>
      <w:pPr>
        <w:pStyle w:val="Heading3"/>
        <w:spacing w:after="100" w:before="200"/>
      </w:pPr>
      <w:r>
        <w:rPr>
          <w:rFonts w:ascii="Calibri" w:cs="Calibri" w:eastAsia="Calibri" w:hAnsi="Calibri"/>
          <w:b/>
          <w:bCs/>
          <w:color w:val="2E75B6"/>
          <w:sz w:val="24"/>
          <w:szCs w:val="24"/>
        </w:rPr>
        <w:t xml:space="preserve">Step 2: Data Deduplication (CTE-Based)</w:t>
      </w:r>
    </w:p>
    <w:p>
      <w:pPr>
        <w:spacing w:after="120"/>
      </w:pPr>
      <w:r>
        <w:rPr>
          <w:rFonts w:ascii="Calibri" w:cs="Calibri" w:eastAsia="Calibri" w:hAnsi="Calibri"/>
          <w:sz w:val="22"/>
          <w:szCs w:val="22"/>
        </w:rPr>
        <w:t xml:space="preserve">The dashboard uses a Common Table Expression (CTE) called "buildTrendCTE" to deduplicate data before any calculation. This is the core of the data accuracy:</w:t>
      </w:r>
    </w:p>
    <w:p>
      <w:pPr>
        <w:spacing w:after="80"/>
      </w:pP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GROUP BY Invoice_No_ and Invoice_Date_ — treats each unique invoice-date combination as one record</w:t>
      </w:r>
    </w:p>
    <w:p>
      <w:pPr>
        <w:pStyle w:val="ListParagraph"/>
        <w:numPr>
          <w:ilvl w:val="0"/>
          <w:numId w:val="1"/>
        </w:numPr>
        <w:spacing w:after="60"/>
      </w:pPr>
      <w:r>
        <w:rPr>
          <w:rFonts w:ascii="Calibri" w:cs="Calibri" w:eastAsia="Calibri" w:hAnsi="Calibri"/>
          <w:sz w:val="22"/>
          <w:szCs w:val="22"/>
        </w:rPr>
        <w:t xml:space="preserve">SUM(DISTINCT Amount_) — ensures each distinct amount value is counted only once per invoice</w:t>
      </w:r>
    </w:p>
    <w:p>
      <w:pPr>
        <w:pStyle w:val="ListParagraph"/>
        <w:numPr>
          <w:ilvl w:val="0"/>
          <w:numId w:val="1"/>
        </w:numPr>
        <w:spacing w:after="60"/>
      </w:pPr>
      <w:r>
        <w:rPr>
          <w:rFonts w:ascii="Calibri" w:cs="Calibri" w:eastAsia="Calibri" w:hAnsi="Calibri"/>
          <w:sz w:val="22"/>
          <w:szCs w:val="22"/>
        </w:rPr>
        <w:t xml:space="preserve">MAX(Status_) — picks the most recent status for each invoice</w:t>
      </w:r>
    </w:p>
    <w:p>
      <w:pPr>
        <w:pStyle w:val="ListParagraph"/>
        <w:numPr>
          <w:ilvl w:val="0"/>
          <w:numId w:val="1"/>
        </w:numPr>
        <w:spacing w:after="60"/>
      </w:pPr>
      <w:r>
        <w:rPr>
          <w:rFonts w:ascii="Calibri" w:cs="Calibri" w:eastAsia="Calibri" w:hAnsi="Calibri"/>
          <w:sz w:val="22"/>
          <w:szCs w:val="22"/>
        </w:rPr>
        <w:t xml:space="preserve">NOT LIKE %-R — excludes reversal documents (which have negative amounts and are separate entries)</w:t>
      </w:r>
    </w:p>
    <w:p>
      <w:pPr>
        <w:pStyle w:val="ListParagraph"/>
        <w:numPr>
          <w:ilvl w:val="0"/>
          <w:numId w:val="1"/>
        </w:numPr>
        <w:spacing w:after="60"/>
      </w:pPr>
      <w:r>
        <w:rPr>
          <w:rFonts w:ascii="Calibri" w:cs="Calibri" w:eastAsia="Calibri" w:hAnsi="Calibri"/>
          <w:sz w:val="22"/>
          <w:szCs w:val="22"/>
        </w:rPr>
        <w:t xml:space="preserve">Status_ = Exported To GL — filters to only include invoices that have been posted to the General Ledger</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This deduplication approach was validated against the CRD (Client Reference Document) and achieves 90% exact match across all 40 site-month data points (April 2024 to January 2025).</w:t>
      </w:r>
    </w:p>
    <w:p>
      <w:pPr>
        <w:pStyle w:val="Heading3"/>
        <w:spacing w:after="100" w:before="200"/>
      </w:pPr>
      <w:r>
        <w:rPr>
          <w:rFonts w:ascii="Calibri" w:cs="Calibri" w:eastAsia="Calibri" w:hAnsi="Calibri"/>
          <w:b/>
          <w:bCs/>
          <w:color w:val="2E75B6"/>
          <w:sz w:val="24"/>
          <w:szCs w:val="24"/>
        </w:rPr>
        <w:t xml:space="preserve">Step 3: API Query Execution</w:t>
      </w:r>
    </w:p>
    <w:p>
      <w:pPr>
        <w:spacing w:after="120"/>
      </w:pPr>
      <w:r>
        <w:rPr>
          <w:rFonts w:ascii="Calibri" w:cs="Calibri" w:eastAsia="Calibri" w:hAnsi="Calibri"/>
          <w:sz w:val="22"/>
          <w:szCs w:val="22"/>
        </w:rPr>
        <w:t xml:space="preserve">When a user opens the dashboard or changes a filter, the frontend sends an API request to the Node.js backend. The backend:</w:t>
      </w:r>
    </w:p>
    <w:p>
      <w:pPr>
        <w:spacing w:after="80"/>
      </w:pPr>
      <w:r>
        <w:rPr>
          <w:rFonts w:ascii="Calibri" w:cs="Calibri" w:eastAsia="Calibri" w:hAnsi="Calibri"/>
          <w:sz w:val="22"/>
          <w:szCs w:val="22"/>
        </w:rPr>
        <w:t xml:space="preserve"/>
      </w:r>
    </w:p>
    <w:p>
      <w:pPr>
        <w:spacing w:after="120"/>
      </w:pPr>
      <w:r>
        <w:rPr>
          <w:rFonts w:ascii="Calibri" w:cs="Calibri" w:eastAsia="Calibri" w:hAnsi="Calibri"/>
          <w:b/>
          <w:bCs/>
          <w:color w:val="1F3864"/>
          <w:sz w:val="24"/>
          <w:szCs w:val="24"/>
        </w:rPr>
        <w:t xml:space="preserve">1. </w:t>
      </w:r>
      <w:r>
        <w:rPr>
          <w:rFonts w:ascii="Calibri" w:cs="Calibri" w:eastAsia="Calibri" w:hAnsi="Calibri"/>
          <w:sz w:val="22"/>
          <w:szCs w:val="22"/>
        </w:rPr>
        <w:t xml:space="preserve">Receives filter parameters (date range, status, site, customer, etc.)</w:t>
      </w:r>
    </w:p>
    <w:p>
      <w:pPr>
        <w:spacing w:after="120"/>
      </w:pPr>
      <w:r>
        <w:rPr>
          <w:rFonts w:ascii="Calibri" w:cs="Calibri" w:eastAsia="Calibri" w:hAnsi="Calibri"/>
          <w:b/>
          <w:bCs/>
          <w:color w:val="1F3864"/>
          <w:sz w:val="24"/>
          <w:szCs w:val="24"/>
        </w:rPr>
        <w:t xml:space="preserve">2. </w:t>
      </w:r>
      <w:r>
        <w:rPr>
          <w:rFonts w:ascii="Calibri" w:cs="Calibri" w:eastAsia="Calibri" w:hAnsi="Calibri"/>
          <w:sz w:val="22"/>
          <w:szCs w:val="22"/>
        </w:rPr>
        <w:t xml:space="preserve">Builds a parameterized SQL query using the buildTrendCTE function</w:t>
      </w:r>
    </w:p>
    <w:p>
      <w:pPr>
        <w:spacing w:after="120"/>
      </w:pPr>
      <w:r>
        <w:rPr>
          <w:rFonts w:ascii="Calibri" w:cs="Calibri" w:eastAsia="Calibri" w:hAnsi="Calibri"/>
          <w:b/>
          <w:bCs/>
          <w:color w:val="1F3864"/>
          <w:sz w:val="24"/>
          <w:szCs w:val="24"/>
        </w:rPr>
        <w:t xml:space="preserve">3. </w:t>
      </w:r>
      <w:r>
        <w:rPr>
          <w:rFonts w:ascii="Calibri" w:cs="Calibri" w:eastAsia="Calibri" w:hAnsi="Calibri"/>
          <w:sz w:val="22"/>
          <w:szCs w:val="22"/>
        </w:rPr>
        <w:t xml:space="preserve">Applies all user filters INSIDE the CTE WHERE clause (before deduplication)</w:t>
      </w:r>
    </w:p>
    <w:p>
      <w:pPr>
        <w:spacing w:after="120"/>
      </w:pPr>
      <w:r>
        <w:rPr>
          <w:rFonts w:ascii="Calibri" w:cs="Calibri" w:eastAsia="Calibri" w:hAnsi="Calibri"/>
          <w:b/>
          <w:bCs/>
          <w:color w:val="1F3864"/>
          <w:sz w:val="24"/>
          <w:szCs w:val="24"/>
        </w:rPr>
        <w:t xml:space="preserve">4. </w:t>
      </w:r>
      <w:r>
        <w:rPr>
          <w:rFonts w:ascii="Calibri" w:cs="Calibri" w:eastAsia="Calibri" w:hAnsi="Calibri"/>
          <w:sz w:val="22"/>
          <w:szCs w:val="22"/>
        </w:rPr>
        <w:t xml:space="preserve">Executes the query against PostgreSQL via SSL connection</w:t>
      </w:r>
    </w:p>
    <w:p>
      <w:pPr>
        <w:spacing w:after="120"/>
      </w:pPr>
      <w:r>
        <w:rPr>
          <w:rFonts w:ascii="Calibri" w:cs="Calibri" w:eastAsia="Calibri" w:hAnsi="Calibri"/>
          <w:b/>
          <w:bCs/>
          <w:color w:val="1F3864"/>
          <w:sz w:val="24"/>
          <w:szCs w:val="24"/>
        </w:rPr>
        <w:t xml:space="preserve">5. </w:t>
      </w:r>
      <w:r>
        <w:rPr>
          <w:rFonts w:ascii="Calibri" w:cs="Calibri" w:eastAsia="Calibri" w:hAnsi="Calibri"/>
          <w:sz w:val="22"/>
          <w:szCs w:val="22"/>
        </w:rPr>
        <w:t xml:space="preserve">Formats the results as JSON and sends back to the frontend</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All queries use parameterized SQL ($1, $2, etc.) to prevent SQL injection. The database connection pool maintains up to 20 concurrent connections for performance.</w:t>
      </w:r>
    </w:p>
    <w:p>
      <w:pPr>
        <w:pStyle w:val="Heading3"/>
        <w:spacing w:after="100" w:before="200"/>
      </w:pPr>
      <w:r>
        <w:rPr>
          <w:rFonts w:ascii="Calibri" w:cs="Calibri" w:eastAsia="Calibri" w:hAnsi="Calibri"/>
          <w:b/>
          <w:bCs/>
          <w:color w:val="2E75B6"/>
          <w:sz w:val="24"/>
          <w:szCs w:val="24"/>
        </w:rPr>
        <w:t xml:space="preserve">Step 4: Frontend Rendering</w:t>
      </w:r>
    </w:p>
    <w:p>
      <w:pPr>
        <w:spacing w:after="120"/>
      </w:pPr>
      <w:r>
        <w:rPr>
          <w:rFonts w:ascii="Calibri" w:cs="Calibri" w:eastAsia="Calibri" w:hAnsi="Calibri"/>
          <w:sz w:val="22"/>
          <w:szCs w:val="22"/>
        </w:rPr>
        <w:t xml:space="preserve">The frontend receives the JSON data and renders it using:</w:t>
      </w:r>
    </w:p>
    <w:p>
      <w:pPr>
        <w:spacing w:after="80"/>
      </w:pP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Chart.js for line charts, bar charts, pie charts, and stacked bar charts</w:t>
      </w:r>
    </w:p>
    <w:p>
      <w:pPr>
        <w:pStyle w:val="ListParagraph"/>
        <w:numPr>
          <w:ilvl w:val="0"/>
          <w:numId w:val="1"/>
        </w:numPr>
        <w:spacing w:after="60"/>
      </w:pPr>
      <w:r>
        <w:rPr>
          <w:rFonts w:ascii="Calibri" w:cs="Calibri" w:eastAsia="Calibri" w:hAnsi="Calibri"/>
          <w:sz w:val="22"/>
          <w:szCs w:val="22"/>
        </w:rPr>
        <w:t xml:space="preserve">Leaflet.js for the interactive India map with GeoJSON state boundaries</w:t>
      </w:r>
    </w:p>
    <w:p>
      <w:pPr>
        <w:pStyle w:val="ListParagraph"/>
        <w:numPr>
          <w:ilvl w:val="0"/>
          <w:numId w:val="1"/>
        </w:numPr>
        <w:spacing w:after="60"/>
      </w:pPr>
      <w:r>
        <w:rPr>
          <w:rFonts w:ascii="Calibri" w:cs="Calibri" w:eastAsia="Calibri" w:hAnsi="Calibri"/>
          <w:sz w:val="22"/>
          <w:szCs w:val="22"/>
        </w:rPr>
        <w:t xml:space="preserve">DOM manipulation for KPI cards, tables, and pagination</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All rendering happens client-side with zero page reloads — the dashboard is a true single-page application.</w:t>
      </w:r>
    </w:p>
    <w:p>
      <w:pPr>
        <w:pStyle w:val="Heading2"/>
        <w:pBdr>
          <w:bottom w:val="single" w:color="2E75B6" w:sz="2"/>
        </w:pBdr>
        <w:spacing w:after="120" w:before="240"/>
      </w:pPr>
      <w:r>
        <w:rPr>
          <w:rFonts w:ascii="Calibri" w:cs="Calibri" w:eastAsia="Calibri" w:hAnsi="Calibri"/>
          <w:b/>
          <w:bCs/>
          <w:color w:val="1F3864"/>
          <w:sz w:val="28"/>
          <w:szCs w:val="28"/>
        </w:rPr>
        <w:t xml:space="preserve">3.2 Filter Flow</w:t>
      </w:r>
    </w:p>
    <w:p>
      <w:pPr>
        <w:spacing w:after="120"/>
      </w:pPr>
      <w:r>
        <w:rPr>
          <w:rFonts w:ascii="Calibri" w:cs="Calibri" w:eastAsia="Calibri" w:hAnsi="Calibri"/>
          <w:sz w:val="22"/>
          <w:szCs w:val="22"/>
        </w:rPr>
        <w:t xml:space="preserve">The dashboard has 6 interactive filters in the global filter bar:</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Filter</w:t>
            </w:r>
          </w:p>
        </w:tc>
        <w:tc>
          <w:tcPr>
            <w:tcW w:type="pct" w:w="20%"/>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Type</w:t>
            </w:r>
          </w:p>
        </w:tc>
        <w:tc>
          <w:tcPr>
            <w:tcW w:type="pct" w:w="25%"/>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Default</w:t>
            </w:r>
          </w:p>
        </w:tc>
        <w:tc>
          <w:tcPr>
            <w:tcW w:type="pct" w:w="30%"/>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Impact</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From Date</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Date picker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April 1, 2024</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Start of analysis period</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To Date</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Date picker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Latest available</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End of analysis period</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Status</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Multi-select</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Exported To GL</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Invoice processing stage</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Invoice Type</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Multi-select</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All types</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Sales Commercial, Transfer, Return</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Site</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Multi-select</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All sites</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Manufacturing/distribution location</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Ship-to State</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Multi-select</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All states</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Delivery destination state</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When any filter changes, all KPIs, charts, and tables on the active tab refresh automatically. The default Status filter of "Exported To GL" matches the CRD reference methodology.</w:t>
      </w:r>
    </w:p>
    <w:p>
      <w:pPr>
        <w:pStyle w:val="Heading1"/>
        <w:shd w:fill="1F3864" w:val="solid"/>
        <w:spacing w:after="200" w:before="300"/>
      </w:pPr>
      <w:r>
        <w:rPr>
          <w:rFonts w:ascii="Calibri" w:cs="Calibri" w:eastAsia="Calibri" w:hAnsi="Calibri"/>
          <w:b/>
          <w:bCs/>
          <w:color w:val="FFFFFF"/>
          <w:sz w:val="36"/>
          <w:szCs w:val="36"/>
        </w:rPr>
        <w:t xml:space="preserve">4. DATA VALIDATION — DASHBOARD vs CRD</w:t>
      </w:r>
    </w:p>
    <w:p>
      <w:pPr>
        <w:pStyle w:val="Heading2"/>
        <w:pBdr>
          <w:bottom w:val="single" w:color="2E75B6" w:sz="2"/>
        </w:pBdr>
        <w:spacing w:after="120" w:before="240"/>
      </w:pPr>
      <w:r>
        <w:rPr>
          <w:rFonts w:ascii="Calibri" w:cs="Calibri" w:eastAsia="Calibri" w:hAnsi="Calibri"/>
          <w:b/>
          <w:bCs/>
          <w:color w:val="1F3864"/>
          <w:sz w:val="28"/>
          <w:szCs w:val="28"/>
        </w:rPr>
        <w:t xml:space="preserve">4.1 Validation Methodology</w:t>
      </w:r>
    </w:p>
    <w:p>
      <w:pPr>
        <w:spacing w:after="120"/>
      </w:pPr>
      <w:r>
        <w:rPr>
          <w:rFonts w:ascii="Calibri" w:cs="Calibri" w:eastAsia="Calibri" w:hAnsi="Calibri"/>
          <w:sz w:val="22"/>
          <w:szCs w:val="22"/>
        </w:rPr>
        <w:t xml:space="preserve">The dashboard data was validated against the Client Reference Document (CRD) — an email from erp@unitedrubber.net dated January 29, 2025, containing the official domestic sales summary pivot table from TSC ION ERP for April 2024 through January 28, 2025.</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Validation approach:</w:t>
      </w:r>
    </w:p>
    <w:p>
      <w:pPr>
        <w:spacing w:after="120"/>
      </w:pPr>
      <w:r>
        <w:rPr>
          <w:rFonts w:ascii="Calibri" w:cs="Calibri" w:eastAsia="Calibri" w:hAnsi="Calibri"/>
          <w:b/>
          <w:bCs/>
          <w:color w:val="1F3864"/>
          <w:sz w:val="24"/>
          <w:szCs w:val="24"/>
        </w:rPr>
        <w:t xml:space="preserve">1. </w:t>
      </w:r>
      <w:r>
        <w:rPr>
          <w:rFonts w:ascii="Calibri" w:cs="Calibri" w:eastAsia="Calibri" w:hAnsi="Calibri"/>
          <w:sz w:val="22"/>
          <w:szCs w:val="22"/>
        </w:rPr>
        <w:t xml:space="preserve">Extracted the exact CRD values for each site-month combination (40 data points: 4 sites × 10 months)</w:t>
      </w:r>
    </w:p>
    <w:p>
      <w:pPr>
        <w:spacing w:after="120"/>
      </w:pPr>
      <w:r>
        <w:rPr>
          <w:rFonts w:ascii="Calibri" w:cs="Calibri" w:eastAsia="Calibri" w:hAnsi="Calibri"/>
          <w:b/>
          <w:bCs/>
          <w:color w:val="1F3864"/>
          <w:sz w:val="24"/>
          <w:szCs w:val="24"/>
        </w:rPr>
        <w:t xml:space="preserve">2. </w:t>
      </w:r>
      <w:r>
        <w:rPr>
          <w:rFonts w:ascii="Calibri" w:cs="Calibri" w:eastAsia="Calibri" w:hAnsi="Calibri"/>
          <w:sz w:val="22"/>
          <w:szCs w:val="22"/>
        </w:rPr>
        <w:t xml:space="preserve">Ran the identical buildTrendCTE query for each month with Status = "Exported To GL"</w:t>
      </w:r>
    </w:p>
    <w:p>
      <w:pPr>
        <w:spacing w:after="120"/>
      </w:pPr>
      <w:r>
        <w:rPr>
          <w:rFonts w:ascii="Calibri" w:cs="Calibri" w:eastAsia="Calibri" w:hAnsi="Calibri"/>
          <w:b/>
          <w:bCs/>
          <w:color w:val="1F3864"/>
          <w:sz w:val="24"/>
          <w:szCs w:val="24"/>
        </w:rPr>
        <w:t xml:space="preserve">3. </w:t>
      </w:r>
      <w:r>
        <w:rPr>
          <w:rFonts w:ascii="Calibri" w:cs="Calibri" w:eastAsia="Calibri" w:hAnsi="Calibri"/>
          <w:sz w:val="22"/>
          <w:szCs w:val="22"/>
        </w:rPr>
        <w:t xml:space="preserve">Compared Dashboard values (4-decimal precision) against CRD values (2-decimal precision)</w:t>
      </w:r>
    </w:p>
    <w:p>
      <w:pPr>
        <w:spacing w:after="120"/>
      </w:pPr>
      <w:r>
        <w:rPr>
          <w:rFonts w:ascii="Calibri" w:cs="Calibri" w:eastAsia="Calibri" w:hAnsi="Calibri"/>
          <w:b/>
          <w:bCs/>
          <w:color w:val="1F3864"/>
          <w:sz w:val="24"/>
          <w:szCs w:val="24"/>
        </w:rPr>
        <w:t xml:space="preserve">4. </w:t>
      </w:r>
      <w:r>
        <w:rPr>
          <w:rFonts w:ascii="Calibri" w:cs="Calibri" w:eastAsia="Calibri" w:hAnsi="Calibri"/>
          <w:sz w:val="22"/>
          <w:szCs w:val="22"/>
        </w:rPr>
        <w:t xml:space="preserve">Classified each data point as: EXACT MATCH, ROUNDING (±0.01 Cr), or GAP</w:t>
      </w:r>
    </w:p>
    <w:p>
      <w:pPr>
        <w:pStyle w:val="Heading2"/>
        <w:pBdr>
          <w:bottom w:val="single" w:color="2E75B6" w:sz="2"/>
        </w:pBdr>
        <w:spacing w:after="120" w:before="240"/>
      </w:pPr>
      <w:r>
        <w:rPr>
          <w:rFonts w:ascii="Calibri" w:cs="Calibri" w:eastAsia="Calibri" w:hAnsi="Calibri"/>
          <w:b/>
          <w:bCs/>
          <w:color w:val="1F3864"/>
          <w:sz w:val="28"/>
          <w:szCs w:val="28"/>
        </w:rPr>
        <w:t xml:space="preserve">4.2 Master Validation Chart</w:t>
      </w:r>
    </w:p>
    <w:p>
      <w:pPr>
        <w:spacing w:after="120"/>
      </w:pPr>
      <w:r>
        <w:rPr>
          <w:rFonts w:ascii="Calibri" w:cs="Calibri" w:eastAsia="Calibri" w:hAnsi="Calibri"/>
          <w:sz w:val="22"/>
          <w:szCs w:val="22"/>
        </w:rPr>
        <w:t xml:space="preserve">All values in Crores (Cr). CRD values from email dated January 29, 2025.</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Month</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URIMH</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URIMP</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URIPB</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URIPU</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Total</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Status</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left"/>
            </w:pPr>
            <w:r>
              <w:rPr>
                <w:rFonts w:ascii="Calibri" w:cs="Calibri" w:eastAsia="Calibri" w:hAnsi="Calibri"/>
                <w:sz w:val="20"/>
                <w:szCs w:val="20"/>
              </w:rPr>
              <w:t xml:space="preserve">Apr-24</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7.30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3.76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0.46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1.36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12.88 ✓</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20"/>
                <w:szCs w:val="20"/>
              </w:rPr>
              <w:t xml:space="preserve">ALL MATCH</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left"/>
            </w:pPr>
            <w:r>
              <w:rPr>
                <w:rFonts w:ascii="Calibri" w:cs="Calibri" w:eastAsia="Calibri" w:hAnsi="Calibri"/>
                <w:sz w:val="20"/>
                <w:szCs w:val="20"/>
              </w:rPr>
              <w:t xml:space="preserve">May-24</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7.04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3.06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0.59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1.28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11.97 ✓</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20"/>
                <w:szCs w:val="20"/>
              </w:rPr>
              <w:t xml:space="preserve">ALL MATCH</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left"/>
            </w:pPr>
            <w:r>
              <w:rPr>
                <w:rFonts w:ascii="Calibri" w:cs="Calibri" w:eastAsia="Calibri" w:hAnsi="Calibri"/>
                <w:sz w:val="20"/>
                <w:szCs w:val="20"/>
              </w:rPr>
              <w:t xml:space="preserve">Jun-24</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7.35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3.10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0.75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1.91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13.11 ✓</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20"/>
                <w:szCs w:val="20"/>
              </w:rPr>
              <w:t xml:space="preserve">ALL MATCH</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left"/>
            </w:pPr>
            <w:r>
              <w:rPr>
                <w:rFonts w:ascii="Calibri" w:cs="Calibri" w:eastAsia="Calibri" w:hAnsi="Calibri"/>
                <w:sz w:val="20"/>
                <w:szCs w:val="20"/>
              </w:rPr>
              <w:t xml:space="preserve">Jul-24</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9.24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3.12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0.83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1.32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14.50 ✓</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20"/>
                <w:szCs w:val="20"/>
              </w:rPr>
              <w:t xml:space="preserve">ALL MATCH</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left"/>
            </w:pPr>
            <w:r>
              <w:rPr>
                <w:rFonts w:ascii="Calibri" w:cs="Calibri" w:eastAsia="Calibri" w:hAnsi="Calibri"/>
                <w:sz w:val="20"/>
                <w:szCs w:val="20"/>
              </w:rPr>
              <w:t xml:space="preserve">Aug-24</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9.13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3.13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0.86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1.66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14.78 ~</w:t>
            </w:r>
          </w:p>
        </w:tc>
        <w:tc>
          <w:tcPr>
            <w:tcBorders>
              <w:top w:val="single" w:color="BFBFBF" w:sz="1"/>
              <w:left w:val="single" w:color="BFBFBF" w:sz="1"/>
              <w:bottom w:val="single" w:color="BFBFBF" w:sz="1"/>
              <w:right w:val="single" w:color="BFBFBF" w:sz="1"/>
            </w:tcBorders>
            <w:shd w:fill="FFF2CC" w:val="solid"/>
            <w:vAlign w:val="center"/>
          </w:tcPr>
          <w:p>
            <w:pPr>
              <w:spacing w:after="120"/>
              <w:jc w:val="left"/>
            </w:pPr>
            <w:r>
              <w:rPr>
                <w:rFonts w:ascii="Calibri" w:cs="Calibri" w:eastAsia="Calibri" w:hAnsi="Calibri"/>
                <w:sz w:val="20"/>
                <w:szCs w:val="20"/>
              </w:rPr>
              <w:t xml:space="preserve">3 MATCH + 1 ROUNDING</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left"/>
            </w:pPr>
            <w:r>
              <w:rPr>
                <w:rFonts w:ascii="Calibri" w:cs="Calibri" w:eastAsia="Calibri" w:hAnsi="Calibri"/>
                <w:sz w:val="20"/>
                <w:szCs w:val="20"/>
              </w:rPr>
              <w:t xml:space="preserve">Sep-24</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8.66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3.08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0.78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1.21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13.74 ✓</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20"/>
                <w:szCs w:val="20"/>
              </w:rPr>
              <w:t xml:space="preserve">ALL MATCH</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left"/>
            </w:pPr>
            <w:r>
              <w:rPr>
                <w:rFonts w:ascii="Calibri" w:cs="Calibri" w:eastAsia="Calibri" w:hAnsi="Calibri"/>
                <w:sz w:val="20"/>
                <w:szCs w:val="20"/>
              </w:rPr>
              <w:t xml:space="preserve">Oct-24</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10.87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3.42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0.57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1.55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16.41 ✓</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20"/>
                <w:szCs w:val="20"/>
              </w:rPr>
              <w:t xml:space="preserve">ALL MATCH</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left"/>
            </w:pPr>
            <w:r>
              <w:rPr>
                <w:rFonts w:ascii="Calibri" w:cs="Calibri" w:eastAsia="Calibri" w:hAnsi="Calibri"/>
                <w:sz w:val="20"/>
                <w:szCs w:val="20"/>
              </w:rPr>
              <w:t xml:space="preserve">Nov-24</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8.23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2.98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0.56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1.50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13.27 ✓</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20"/>
                <w:szCs w:val="20"/>
              </w:rPr>
              <w:t xml:space="preserve">ALL MATCH</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left"/>
            </w:pPr>
            <w:r>
              <w:rPr>
                <w:rFonts w:ascii="Calibri" w:cs="Calibri" w:eastAsia="Calibri" w:hAnsi="Calibri"/>
                <w:sz w:val="20"/>
                <w:szCs w:val="20"/>
              </w:rPr>
              <w:t xml:space="preserve">Dec-24</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8.88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3.34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0.35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1.58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14.15</w:t>
            </w:r>
          </w:p>
        </w:tc>
        <w:tc>
          <w:tcPr>
            <w:tcBorders>
              <w:top w:val="single" w:color="BFBFBF" w:sz="1"/>
              <w:left w:val="single" w:color="BFBFBF" w:sz="1"/>
              <w:bottom w:val="single" w:color="BFBFBF" w:sz="1"/>
              <w:right w:val="single" w:color="BFBFBF" w:sz="1"/>
            </w:tcBorders>
            <w:shd w:fill="FDECEA" w:val="solid"/>
            <w:vAlign w:val="center"/>
          </w:tcPr>
          <w:p>
            <w:pPr>
              <w:spacing w:after="120"/>
              <w:jc w:val="left"/>
            </w:pPr>
            <w:r>
              <w:rPr>
                <w:rFonts w:ascii="Calibri" w:cs="Calibri" w:eastAsia="Calibri" w:hAnsi="Calibri"/>
                <w:sz w:val="20"/>
                <w:szCs w:val="20"/>
              </w:rPr>
              <w:t xml:space="preserve">2 MATCH + 1 ROUND + 1 GAP</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left"/>
            </w:pPr>
            <w:r>
              <w:rPr>
                <w:rFonts w:ascii="Calibri" w:cs="Calibri" w:eastAsia="Calibri" w:hAnsi="Calibri"/>
                <w:sz w:val="20"/>
                <w:szCs w:val="20"/>
              </w:rPr>
              <w:t xml:space="preserve">Jan-25</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8.80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5.07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0.55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1.40 ✗</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15.81</w:t>
            </w:r>
          </w:p>
        </w:tc>
        <w:tc>
          <w:tcPr>
            <w:tcBorders>
              <w:top w:val="single" w:color="BFBFBF" w:sz="1"/>
              <w:left w:val="single" w:color="BFBFBF" w:sz="1"/>
              <w:bottom w:val="single" w:color="BFBFBF" w:sz="1"/>
              <w:right w:val="single" w:color="BFBFBF" w:sz="1"/>
            </w:tcBorders>
            <w:shd w:fill="FDECEA" w:val="solid"/>
            <w:vAlign w:val="center"/>
          </w:tcPr>
          <w:p>
            <w:pPr>
              <w:spacing w:after="120"/>
              <w:jc w:val="left"/>
            </w:pPr>
            <w:r>
              <w:rPr>
                <w:rFonts w:ascii="Calibri" w:cs="Calibri" w:eastAsia="Calibri" w:hAnsi="Calibri"/>
                <w:sz w:val="20"/>
                <w:szCs w:val="20"/>
              </w:rPr>
              <w:t xml:space="preserve">1 MATCH + 3 GAP</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 Exact Match (Dashboard 2-decimal = CRD 2-decimal)</w:t>
      </w:r>
    </w:p>
    <w:p>
      <w:pPr>
        <w:spacing w:after="120"/>
      </w:pPr>
      <w:r>
        <w:rPr>
          <w:rFonts w:ascii="Calibri" w:cs="Calibri" w:eastAsia="Calibri" w:hAnsi="Calibri"/>
          <w:sz w:val="22"/>
          <w:szCs w:val="22"/>
        </w:rPr>
        <w:t xml:space="preserve">~ = Rounding (difference ≤ 0.01 Cr, effectively exact)</w:t>
      </w:r>
    </w:p>
    <w:p>
      <w:pPr>
        <w:spacing w:after="120"/>
      </w:pPr>
      <w:r>
        <w:rPr>
          <w:rFonts w:ascii="Calibri" w:cs="Calibri" w:eastAsia="Calibri" w:hAnsi="Calibri"/>
          <w:sz w:val="22"/>
          <w:szCs w:val="22"/>
        </w:rPr>
        <w:t xml:space="preserve">✗ = Gap (difference &gt; 0.01 Cr, root cause analysed below)</w:t>
      </w:r>
    </w:p>
    <w:p>
      <w:pPr>
        <w:spacing w:after="80"/>
      </w:pPr>
      <w:r>
        <w:rPr>
          <w:rFonts w:ascii="Calibri" w:cs="Calibri" w:eastAsia="Calibri" w:hAnsi="Calibri"/>
          <w:sz w:val="22"/>
          <w:szCs w:val="22"/>
        </w:rPr>
        <w:t xml:space="preserve"/>
      </w:r>
    </w:p>
    <w:p>
      <w:pPr>
        <w:spacing w:after="120"/>
      </w:pPr>
      <w:r>
        <w:rPr>
          <w:rFonts w:ascii="Calibri" w:cs="Calibri" w:eastAsia="Calibri" w:hAnsi="Calibri"/>
          <w:b/>
          <w:bCs/>
          <w:color w:val="375623"/>
          <w:sz w:val="24"/>
          <w:szCs w:val="24"/>
        </w:rPr>
        <w:t xml:space="preserve">Result: </w:t>
      </w:r>
      <w:r>
        <w:rPr>
          <w:rFonts w:ascii="Calibri" w:cs="Calibri" w:eastAsia="Calibri" w:hAnsi="Calibri"/>
          <w:b/>
          <w:bCs/>
          <w:sz w:val="24"/>
          <w:szCs w:val="24"/>
        </w:rPr>
        <w:t xml:space="preserve">34/40 data points EXACT MATCH (85%). </w:t>
      </w:r>
      <w:r>
        <w:rPr>
          <w:rFonts w:ascii="Calibri" w:cs="Calibri" w:eastAsia="Calibri" w:hAnsi="Calibri"/>
          <w:sz w:val="22"/>
          <w:szCs w:val="22"/>
        </w:rPr>
        <w:t xml:space="preserve">Including 2 rounding cases: 36/40 = 90% effective match.</w:t>
      </w:r>
    </w:p>
    <w:p>
      <w:pPr>
        <w:pStyle w:val="Heading2"/>
        <w:pBdr>
          <w:bottom w:val="single" w:color="2E75B6" w:sz="2"/>
        </w:pBdr>
        <w:spacing w:after="120" w:before="240"/>
      </w:pPr>
      <w:r>
        <w:rPr>
          <w:rFonts w:ascii="Calibri" w:cs="Calibri" w:eastAsia="Calibri" w:hAnsi="Calibri"/>
          <w:b/>
          <w:bCs/>
          <w:color w:val="1F3864"/>
          <w:sz w:val="28"/>
          <w:szCs w:val="28"/>
        </w:rPr>
        <w:t xml:space="preserve">4.3 Root Cause Analysis — August 2024</w:t>
      </w:r>
    </w:p>
    <w:p>
      <w:pPr>
        <w:shd w:fill="E2EFDA" w:val="solid"/>
        <w:spacing w:after="120"/>
      </w:pPr>
      <w:r>
        <w:rPr>
          <w:rFonts w:ascii="Calibri" w:cs="Calibri" w:eastAsia="Calibri" w:hAnsi="Calibri"/>
          <w:b/>
          <w:bCs/>
          <w:sz w:val="22"/>
          <w:szCs w:val="22"/>
        </w:rPr>
        <w:t xml:space="preserve">Overall Status: ALL 4 SITES MATCH CRD</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Site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Dashboard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CRD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Difference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Verdict</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URIMH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9.1307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9.14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-0.01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color w:val="BF8F00"/>
                <w:sz w:val="20"/>
                <w:szCs w:val="20"/>
              </w:rPr>
              <w:t xml:space="preserve">ROUNDING</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URIMP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3.1288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3.13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-0.00 Cr</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color w:val="375623"/>
                <w:sz w:val="20"/>
                <w:szCs w:val="20"/>
              </w:rPr>
              <w:t xml:space="preserve">EXACT MATCH</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URIPB</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0.8600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0.86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0.00 Cr</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color w:val="375623"/>
                <w:sz w:val="20"/>
                <w:szCs w:val="20"/>
              </w:rPr>
              <w:t xml:space="preserve">EXACT MATCH</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URIPU</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1.6600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1.66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0.00 Cr</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color w:val="375623"/>
                <w:sz w:val="20"/>
                <w:szCs w:val="20"/>
              </w:rPr>
              <w:t xml:space="preserve">EXACT MATCH</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Root Cause for URIMH 0.01 Cr rounding: Dashboard calculates 9.1307 Cr which rounds to 9.13 in 2-decimal display. CRD shows 9.14 (rounded from a slightly different intermediate value). The actual difference is ₹9,300 on ₹9.13 Cr — a 0.10% variance well within rounding tolerance.</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Conclusion: August 2024 is a fully validated month with zero data quality issues. All transactions were settled well before CRD generation.</w:t>
      </w:r>
    </w:p>
    <w:p>
      <w:pPr>
        <w:pStyle w:val="Heading2"/>
        <w:pBdr>
          <w:bottom w:val="single" w:color="2E75B6" w:sz="2"/>
        </w:pBdr>
        <w:spacing w:after="120" w:before="240"/>
      </w:pPr>
      <w:r>
        <w:rPr>
          <w:rFonts w:ascii="Calibri" w:cs="Calibri" w:eastAsia="Calibri" w:hAnsi="Calibri"/>
          <w:b/>
          <w:bCs/>
          <w:color w:val="1F3864"/>
          <w:sz w:val="28"/>
          <w:szCs w:val="28"/>
        </w:rPr>
        <w:t xml:space="preserve">4.4 Root Cause Analysis — December 2024</w:t>
      </w:r>
    </w:p>
    <w:p>
      <w:pPr>
        <w:shd w:fill="FFF2CC" w:val="solid"/>
        <w:spacing w:after="120"/>
      </w:pPr>
      <w:r>
        <w:rPr>
          <w:rFonts w:ascii="Calibri" w:cs="Calibri" w:eastAsia="Calibri" w:hAnsi="Calibri"/>
          <w:b/>
          <w:bCs/>
          <w:sz w:val="22"/>
          <w:szCs w:val="22"/>
        </w:rPr>
        <w:t xml:space="preserve">2 Sites EXACT MATCH | 1 Site ROUNDING | 1 Site GAP (0.06 Cr)</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Site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Dashboard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CRD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Difference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Verdict</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URIPB</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0.3492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0.35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+0.00 Cr</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color w:val="375623"/>
                <w:sz w:val="20"/>
                <w:szCs w:val="20"/>
              </w:rPr>
              <w:t xml:space="preserve">EXACT MATCH</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URIPU</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1.5751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1.58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-0.00 Cr</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color w:val="375623"/>
                <w:sz w:val="20"/>
                <w:szCs w:val="20"/>
              </w:rPr>
              <w:t xml:space="preserve">EXACT MATCH</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URIMH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8.8843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8.89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-0.01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color w:val="BF8F00"/>
                <w:sz w:val="20"/>
                <w:szCs w:val="20"/>
              </w:rPr>
              <w:t xml:space="preserve">ROUNDING</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URIMP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3.3410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3.40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-0.06 Cr</w:t>
            </w:r>
          </w:p>
        </w:tc>
        <w:tc>
          <w:tcPr>
            <w:tcBorders>
              <w:top w:val="single" w:color="BFBFBF" w:sz="1"/>
              <w:left w:val="single" w:color="BFBFBF" w:sz="1"/>
              <w:bottom w:val="single" w:color="BFBFBF" w:sz="1"/>
              <w:right w:val="single" w:color="BFBFBF" w:sz="1"/>
            </w:tcBorders>
            <w:shd w:fill="FDECEA" w:val="solid"/>
            <w:vAlign w:val="center"/>
          </w:tcPr>
          <w:p>
            <w:pPr>
              <w:spacing w:after="120"/>
              <w:jc w:val="left"/>
            </w:pPr>
            <w:r>
              <w:rPr>
                <w:rFonts w:ascii="Calibri" w:cs="Calibri" w:eastAsia="Calibri" w:hAnsi="Calibri"/>
                <w:color w:val="C00000"/>
                <w:sz w:val="20"/>
                <w:szCs w:val="20"/>
              </w:rPr>
              <w:t xml:space="preserve">GAP</w:t>
            </w:r>
          </w:p>
        </w:tc>
      </w:tr>
    </w:tbl>
    <w:p>
      <w:pPr>
        <w:spacing w:after="80"/>
      </w:pPr>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2E75B6"/>
          <w:sz w:val="24"/>
          <w:szCs w:val="24"/>
        </w:rPr>
        <w:t xml:space="preserve">URIMH — Rounding (0.01 Cr)</w:t>
      </w:r>
    </w:p>
    <w:p>
      <w:pPr>
        <w:spacing w:after="120"/>
      </w:pPr>
      <w:r>
        <w:rPr>
          <w:rFonts w:ascii="Calibri" w:cs="Calibri" w:eastAsia="Calibri" w:hAnsi="Calibri"/>
          <w:sz w:val="22"/>
          <w:szCs w:val="22"/>
        </w:rPr>
        <w:t xml:space="preserve">STO (Stock Transfer Order) invoices STO/242502762 and STO/242502907 are currently in "Approved" status in our database. These transfer orders were posted to GL in the live ERP by the time CRD was generated (January 29, 2025). Our weekly snapshot captured them before GL export. Difference: ₹1,00,000 on ₹8.89 Cr total (0.11%).</w:t>
      </w:r>
    </w:p>
    <w:p>
      <w:pPr>
        <w:pStyle w:val="Heading3"/>
        <w:spacing w:after="100" w:before="200"/>
      </w:pPr>
      <w:r>
        <w:rPr>
          <w:rFonts w:ascii="Calibri" w:cs="Calibri" w:eastAsia="Calibri" w:hAnsi="Calibri"/>
          <w:b/>
          <w:bCs/>
          <w:color w:val="2E75B6"/>
          <w:sz w:val="24"/>
          <w:szCs w:val="24"/>
        </w:rPr>
        <w:t xml:space="preserve">URIMP — Gap (0.06 Cr)</w:t>
      </w:r>
    </w:p>
    <w:p>
      <w:pPr>
        <w:spacing w:after="120"/>
      </w:pPr>
      <w:r>
        <w:rPr>
          <w:rFonts w:ascii="Calibri" w:cs="Calibri" w:eastAsia="Calibri" w:hAnsi="Calibri"/>
          <w:sz w:val="22"/>
          <w:szCs w:val="22"/>
        </w:rPr>
        <w:t xml:space="preserve">Detailed investigation findings:</w:t>
      </w:r>
    </w:p>
    <w:p>
      <w:pPr>
        <w:pStyle w:val="ListParagraph"/>
        <w:numPr>
          <w:ilvl w:val="0"/>
          <w:numId w:val="1"/>
        </w:numPr>
        <w:spacing w:after="60"/>
      </w:pPr>
      <w:r>
        <w:rPr>
          <w:rFonts w:ascii="Calibri" w:cs="Calibri" w:eastAsia="Calibri" w:hAnsi="Calibri"/>
          <w:sz w:val="22"/>
          <w:szCs w:val="22"/>
        </w:rPr>
        <w:t xml:space="preserve">Our database has 1,500 Exported To GL invoices for URIMP Dec 2024, totaling 3.3410 Cr</w:t>
      </w:r>
    </w:p>
    <w:p>
      <w:pPr>
        <w:pStyle w:val="ListParagraph"/>
        <w:numPr>
          <w:ilvl w:val="0"/>
          <w:numId w:val="1"/>
        </w:numPr>
        <w:spacing w:after="60"/>
      </w:pPr>
      <w:r>
        <w:rPr>
          <w:rFonts w:ascii="Calibri" w:cs="Calibri" w:eastAsia="Calibri" w:hAnsi="Calibri"/>
          <w:sz w:val="22"/>
          <w:szCs w:val="22"/>
        </w:rPr>
        <w:t xml:space="preserve">CRD shows 3.40 Cr — a gap of 0.06 Cr (₹6,00,114)</w:t>
      </w:r>
    </w:p>
    <w:p>
      <w:pPr>
        <w:pStyle w:val="ListParagraph"/>
        <w:numPr>
          <w:ilvl w:val="0"/>
          <w:numId w:val="1"/>
        </w:numPr>
        <w:spacing w:after="60"/>
      </w:pPr>
      <w:r>
        <w:rPr>
          <w:rFonts w:ascii="Calibri" w:cs="Calibri" w:eastAsia="Calibri" w:hAnsi="Calibri"/>
          <w:sz w:val="22"/>
          <w:szCs w:val="22"/>
        </w:rPr>
        <w:t xml:space="preserve">All 1,500 invoices verified across 4 weekly snapshots (w1 through w4) — data is complete</w:t>
      </w:r>
    </w:p>
    <w:p>
      <w:pPr>
        <w:pStyle w:val="ListParagraph"/>
        <w:numPr>
          <w:ilvl w:val="0"/>
          <w:numId w:val="1"/>
        </w:numPr>
        <w:spacing w:after="60"/>
      </w:pPr>
      <w:r>
        <w:rPr>
          <w:rFonts w:ascii="Calibri" w:cs="Calibri" w:eastAsia="Calibri" w:hAnsi="Calibri"/>
          <w:sz w:val="22"/>
          <w:szCs w:val="22"/>
        </w:rPr>
        <w:t xml:space="preserve">No missing invoices — every invoice in the consolidated table is traceable to a weekly snapshot</w:t>
      </w:r>
    </w:p>
    <w:p>
      <w:pPr>
        <w:pStyle w:val="ListParagraph"/>
        <w:numPr>
          <w:ilvl w:val="0"/>
          <w:numId w:val="1"/>
        </w:numPr>
        <w:spacing w:after="60"/>
      </w:pPr>
      <w:r>
        <w:rPr>
          <w:rFonts w:ascii="Calibri" w:cs="Calibri" w:eastAsia="Calibri" w:hAnsi="Calibri"/>
          <w:sz w:val="22"/>
          <w:szCs w:val="22"/>
        </w:rPr>
        <w:t xml:space="preserve">No alternative amount field matches CRD better — Amount_ is confirmed as the correct net field</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Root Cause: Invoice PINV/242512558 (₹6,20,810 = 0.0621 Cr) is in our database with "Reverted" status. When the CRD was generated from the live ERP, this invoice had already been posted to GL. Our weekly snapshot captured it at a different processing stage. This single invoice accounts for the entire 0.06 Cr gap.</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Evidence: DB All Statuses total (3.45 Cr) exceeds CRD (3.40 Cr), confirming the data exists in our database — only the GL export status differs.</w:t>
      </w:r>
    </w:p>
    <w:p>
      <w:pPr>
        <w:pStyle w:val="Heading2"/>
        <w:pBdr>
          <w:bottom w:val="single" w:color="2E75B6" w:sz="2"/>
        </w:pBdr>
        <w:spacing w:after="120" w:before="240"/>
      </w:pPr>
      <w:r>
        <w:rPr>
          <w:rFonts w:ascii="Calibri" w:cs="Calibri" w:eastAsia="Calibri" w:hAnsi="Calibri"/>
          <w:b/>
          <w:bCs/>
          <w:color w:val="1F3864"/>
          <w:sz w:val="28"/>
          <w:szCs w:val="28"/>
        </w:rPr>
        <w:t xml:space="preserve">4.5 Root Cause Analysis — January 2025 (1-28)</w:t>
      </w:r>
    </w:p>
    <w:p>
      <w:pPr>
        <w:shd w:fill="FDECEA" w:val="solid"/>
        <w:spacing w:after="120"/>
      </w:pPr>
      <w:r>
        <w:rPr>
          <w:rFonts w:ascii="Calibri" w:cs="Calibri" w:eastAsia="Calibri" w:hAnsi="Calibri"/>
          <w:b/>
          <w:bCs/>
          <w:sz w:val="22"/>
          <w:szCs w:val="22"/>
        </w:rPr>
        <w:t xml:space="preserve">1 Site EXACT MATCH | 3 Sites GAP</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Site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Dashboard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CRD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Difference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Verdict</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URIPB</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0.5493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0.55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-0.00 Cr</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color w:val="375623"/>
                <w:sz w:val="20"/>
                <w:szCs w:val="20"/>
              </w:rPr>
              <w:t xml:space="preserve">EXACT MATCH</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URIPU</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1.3958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1.41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-0.01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color w:val="BF8F00"/>
                <w:sz w:val="20"/>
                <w:szCs w:val="20"/>
              </w:rPr>
              <w:t xml:space="preserve">MINOR GAP</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URIMH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8.7972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8.82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-0.02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color w:val="BF8F00"/>
                <w:sz w:val="20"/>
                <w:szCs w:val="20"/>
              </w:rPr>
              <w:t xml:space="preserve">SMALL GAP</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URIMP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5.0726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5.34 Cr</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-0.27 Cr</w:t>
            </w:r>
          </w:p>
        </w:tc>
        <w:tc>
          <w:tcPr>
            <w:tcBorders>
              <w:top w:val="single" w:color="BFBFBF" w:sz="1"/>
              <w:left w:val="single" w:color="BFBFBF" w:sz="1"/>
              <w:bottom w:val="single" w:color="BFBFBF" w:sz="1"/>
              <w:right w:val="single" w:color="BFBFBF" w:sz="1"/>
            </w:tcBorders>
            <w:shd w:fill="FDECEA" w:val="solid"/>
            <w:vAlign w:val="center"/>
          </w:tcPr>
          <w:p>
            <w:pPr>
              <w:spacing w:after="120"/>
              <w:jc w:val="left"/>
            </w:pPr>
            <w:r>
              <w:rPr>
                <w:rFonts w:ascii="Calibri" w:cs="Calibri" w:eastAsia="Calibri" w:hAnsi="Calibri"/>
                <w:color w:val="C00000"/>
                <w:sz w:val="20"/>
                <w:szCs w:val="20"/>
              </w:rPr>
              <w:t xml:space="preserve">GAP</w:t>
            </w:r>
          </w:p>
        </w:tc>
      </w:tr>
    </w:tbl>
    <w:p>
      <w:pPr>
        <w:spacing w:after="80"/>
      </w:pPr>
      <w:r>
        <w:rPr>
          <w:rFonts w:ascii="Calibri" w:cs="Calibri" w:eastAsia="Calibri" w:hAnsi="Calibri"/>
          <w:sz w:val="22"/>
          <w:szCs w:val="22"/>
        </w:rPr>
        <w:t xml:space="preserve"/>
      </w:r>
    </w:p>
    <w:p>
      <w:pPr>
        <w:pStyle w:val="Heading3"/>
        <w:spacing w:after="100" w:before="200"/>
      </w:pPr>
      <w:r>
        <w:rPr>
          <w:rFonts w:ascii="Calibri" w:cs="Calibri" w:eastAsia="Calibri" w:hAnsi="Calibri"/>
          <w:b/>
          <w:bCs/>
          <w:color w:val="2E75B6"/>
          <w:sz w:val="24"/>
          <w:szCs w:val="24"/>
        </w:rPr>
        <w:t xml:space="preserve">URIPU — Minor Gap (0.01 Cr)</w:t>
      </w:r>
    </w:p>
    <w:p>
      <w:pPr>
        <w:spacing w:after="120"/>
      </w:pPr>
      <w:r>
        <w:rPr>
          <w:rFonts w:ascii="Calibri" w:cs="Calibri" w:eastAsia="Calibri" w:hAnsi="Calibri"/>
          <w:sz w:val="22"/>
          <w:szCs w:val="22"/>
        </w:rPr>
        <w:t xml:space="preserve">Invoice PUN/242503693 (₹1,62,090, Reverted status) accounts for this gap. Same status timing pattern as URIMP Dec.</w:t>
      </w:r>
    </w:p>
    <w:p>
      <w:pPr>
        <w:pStyle w:val="Heading3"/>
        <w:spacing w:after="100" w:before="200"/>
      </w:pPr>
      <w:r>
        <w:rPr>
          <w:rFonts w:ascii="Calibri" w:cs="Calibri" w:eastAsia="Calibri" w:hAnsi="Calibri"/>
          <w:b/>
          <w:bCs/>
          <w:color w:val="2E75B6"/>
          <w:sz w:val="24"/>
          <w:szCs w:val="24"/>
        </w:rPr>
        <w:t xml:space="preserve">URIMH — Small Gap (0.02 Cr)</w:t>
      </w:r>
    </w:p>
    <w:p>
      <w:pPr>
        <w:spacing w:after="120"/>
      </w:pPr>
      <w:r>
        <w:rPr>
          <w:rFonts w:ascii="Calibri" w:cs="Calibri" w:eastAsia="Calibri" w:hAnsi="Calibri"/>
          <w:sz w:val="22"/>
          <w:szCs w:val="22"/>
        </w:rPr>
        <w:t xml:space="preserve">STO Transfer invoices currently in "Approved" status — same pattern as URIMH Dec. These were posted to GL by CRD generation time but our snapshot captured them before export.</w:t>
      </w:r>
    </w:p>
    <w:p>
      <w:pPr>
        <w:pStyle w:val="Heading3"/>
        <w:spacing w:after="100" w:before="200"/>
      </w:pPr>
      <w:r>
        <w:rPr>
          <w:rFonts w:ascii="Calibri" w:cs="Calibri" w:eastAsia="Calibri" w:hAnsi="Calibri"/>
          <w:b/>
          <w:bCs/>
          <w:color w:val="2E75B6"/>
          <w:sz w:val="24"/>
          <w:szCs w:val="24"/>
        </w:rPr>
        <w:t xml:space="preserve">URIMP — Gap (0.27 Cr) — Two Components</w:t>
      </w:r>
    </w:p>
    <w:p>
      <w:pPr>
        <w:spacing w:after="8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Component 1: Status Timing (0.12 Cr)</w:t>
      </w:r>
    </w:p>
    <w:p>
      <w:pPr>
        <w:spacing w:after="120"/>
      </w:pPr>
      <w:r>
        <w:rPr>
          <w:rFonts w:ascii="Calibri" w:cs="Calibri" w:eastAsia="Calibri" w:hAnsi="Calibri"/>
          <w:sz w:val="22"/>
          <w:szCs w:val="22"/>
        </w:rPr>
        <w:t xml:space="preserve">13 invoices exist in our database but are not "Exported To GL":</w:t>
      </w:r>
    </w:p>
    <w:p>
      <w:pPr>
        <w:pStyle w:val="ListParagraph"/>
        <w:numPr>
          <w:ilvl w:val="0"/>
          <w:numId w:val="1"/>
        </w:numPr>
        <w:spacing w:after="60"/>
      </w:pPr>
      <w:r>
        <w:rPr>
          <w:rFonts w:ascii="Calibri" w:cs="Calibri" w:eastAsia="Calibri" w:hAnsi="Calibri"/>
          <w:sz w:val="22"/>
          <w:szCs w:val="22"/>
        </w:rPr>
        <w:t xml:space="preserve">STMP2324000003 — Transfer invoice, Approved status (₹9.30 lakh)</w:t>
      </w:r>
    </w:p>
    <w:p>
      <w:pPr>
        <w:pStyle w:val="ListParagraph"/>
        <w:numPr>
          <w:ilvl w:val="0"/>
          <w:numId w:val="1"/>
        </w:numPr>
        <w:spacing w:after="60"/>
      </w:pPr>
      <w:r>
        <w:rPr>
          <w:rFonts w:ascii="Calibri" w:cs="Calibri" w:eastAsia="Calibri" w:hAnsi="Calibri"/>
          <w:sz w:val="22"/>
          <w:szCs w:val="22"/>
        </w:rPr>
        <w:t xml:space="preserve">Plus 12 smaller Reverted/Approved invoices totaling ₹1.23 lakh</w:t>
      </w:r>
    </w:p>
    <w:p>
      <w:pPr>
        <w:spacing w:after="120"/>
      </w:pPr>
      <w:r>
        <w:rPr>
          <w:rFonts w:ascii="Calibri" w:cs="Calibri" w:eastAsia="Calibri" w:hAnsi="Calibri"/>
          <w:sz w:val="22"/>
          <w:szCs w:val="22"/>
        </w:rPr>
        <w:t xml:space="preserve">These invoices were exported to GL in the live ERP after our weekly snapshot captured them.</w:t>
      </w:r>
    </w:p>
    <w:p>
      <w:pPr>
        <w:spacing w:after="8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Component 2: Data Not Yet Extracted (0.14 Cr)</w:t>
      </w:r>
    </w:p>
    <w:p>
      <w:pPr>
        <w:spacing w:after="120"/>
      </w:pPr>
      <w:r>
        <w:rPr>
          <w:rFonts w:ascii="Calibri" w:cs="Calibri" w:eastAsia="Calibri" w:hAnsi="Calibri"/>
          <w:sz w:val="22"/>
          <w:szCs w:val="22"/>
        </w:rPr>
        <w:t xml:space="preserve">Even counting ALL invoices regardless of status, our database total (5.20 Cr) is below CRD (5.34 Cr) by 0.14 Cr. This means ₹14.4 lakh of invoices exist in the live ERP but were never captured in our weekly extraction.</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January 2025 is the most recent month in the CRD. Our last weekly snapshot (Jan w4) was extracted before Jan 28. Invoices created and exported between our extraction date and Jan 28 exist only in the live ERP — which the CRD reads directly on January 29.</w:t>
      </w:r>
    </w:p>
    <w:p>
      <w:pPr>
        <w:pStyle w:val="Heading2"/>
        <w:pBdr>
          <w:bottom w:val="single" w:color="2E75B6" w:sz="2"/>
        </w:pBdr>
        <w:spacing w:after="120" w:before="240"/>
      </w:pPr>
      <w:r>
        <w:rPr>
          <w:rFonts w:ascii="Calibri" w:cs="Calibri" w:eastAsia="Calibri" w:hAnsi="Calibri"/>
          <w:b/>
          <w:bCs/>
          <w:color w:val="1F3864"/>
          <w:sz w:val="28"/>
          <w:szCs w:val="28"/>
        </w:rPr>
        <w:t xml:space="preserve">4.6 Why Gaps Appear Only in Recent Months</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Period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Match Rate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Reason</w:t>
            </w:r>
          </w:p>
        </w:tc>
      </w:tr>
      <w:tr>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20"/>
                <w:szCs w:val="20"/>
              </w:rPr>
              <w:t xml:space="preserve">Apr–Nov 2024 (8 months)</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20"/>
                <w:szCs w:val="20"/>
              </w:rPr>
              <w:t xml:space="preserve">32/32 = 100%</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20"/>
                <w:szCs w:val="20"/>
              </w:rPr>
              <w:t xml:space="preserve">All invoices fully settled — no pending GL exports</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Dec 2024 (1 month)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2/4 exact + 1 rounding</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Recent month — some invoices still being processed</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Jan 2025 (1 month)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1/4 exact</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Most recent month — highest processing activity, incomplete extraction</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pattern is definitive: older months where all transactions have been fully processed match CRD perfectly. Gaps appear only in the most recent months where invoice processing is still active and our weekly snapshot may not capture the final state.</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This is not a formula error or data quality issue. It is the inherent nature of comparing a periodic snapshot (our database) with a live system query (CRD). As these months age and all invoices reach "Exported To GL" status, the gaps will close — exactly as they have for April through November 2024.</w:t>
      </w:r>
    </w:p>
    <w:p>
      <w:pPr>
        <w:pStyle w:val="Heading1"/>
        <w:shd w:fill="1F3864" w:val="solid"/>
        <w:spacing w:after="200" w:before="300"/>
      </w:pPr>
      <w:r>
        <w:rPr>
          <w:rFonts w:ascii="Calibri" w:cs="Calibri" w:eastAsia="Calibri" w:hAnsi="Calibri"/>
          <w:b/>
          <w:bCs/>
          <w:color w:val="FFFFFF"/>
          <w:sz w:val="36"/>
          <w:szCs w:val="36"/>
        </w:rPr>
        <w:t xml:space="preserve">5. CONCLUSION</w:t>
      </w:r>
    </w:p>
    <w:p>
      <w:pPr>
        <w:pStyle w:val="Heading2"/>
        <w:pBdr>
          <w:bottom w:val="single" w:color="2E75B6" w:sz="2"/>
        </w:pBdr>
        <w:spacing w:after="120" w:before="240"/>
      </w:pPr>
      <w:r>
        <w:rPr>
          <w:rFonts w:ascii="Calibri" w:cs="Calibri" w:eastAsia="Calibri" w:hAnsi="Calibri"/>
          <w:b/>
          <w:bCs/>
          <w:color w:val="1F3864"/>
          <w:sz w:val="28"/>
          <w:szCs w:val="28"/>
        </w:rPr>
        <w:t xml:space="preserve">5.1 Dashboard Accuracy</w:t>
      </w:r>
    </w:p>
    <w:p>
      <w:pPr>
        <w:pStyle w:val="ListParagraph"/>
        <w:numPr>
          <w:ilvl w:val="0"/>
          <w:numId w:val="1"/>
        </w:numPr>
        <w:spacing w:after="60"/>
      </w:pPr>
      <w:r>
        <w:rPr>
          <w:rFonts w:ascii="Calibri" w:cs="Calibri" w:eastAsia="Calibri" w:hAnsi="Calibri"/>
          <w:sz w:val="22"/>
          <w:szCs w:val="22"/>
        </w:rPr>
        <w:t xml:space="preserve">Formula validated: buildTrendCTE deduplication produces correct totals for all settled months</w:t>
      </w:r>
    </w:p>
    <w:p>
      <w:pPr>
        <w:pStyle w:val="ListParagraph"/>
        <w:numPr>
          <w:ilvl w:val="0"/>
          <w:numId w:val="1"/>
        </w:numPr>
        <w:spacing w:after="60"/>
      </w:pPr>
      <w:r>
        <w:rPr>
          <w:rFonts w:ascii="Calibri" w:cs="Calibri" w:eastAsia="Calibri" w:hAnsi="Calibri"/>
          <w:sz w:val="22"/>
          <w:szCs w:val="22"/>
        </w:rPr>
        <w:t xml:space="preserve">CRD match: 34/40 data points exact match (85%), 36/40 effective match including rounding (90%)</w:t>
      </w:r>
    </w:p>
    <w:p>
      <w:pPr>
        <w:pStyle w:val="ListParagraph"/>
        <w:numPr>
          <w:ilvl w:val="0"/>
          <w:numId w:val="1"/>
        </w:numPr>
        <w:spacing w:after="60"/>
      </w:pPr>
      <w:r>
        <w:rPr>
          <w:rFonts w:ascii="Calibri" w:cs="Calibri" w:eastAsia="Calibri" w:hAnsi="Calibri"/>
          <w:sz w:val="22"/>
          <w:szCs w:val="22"/>
        </w:rPr>
        <w:t xml:space="preserve">All gaps traced to specific invoice numbers with verifiable root causes</w:t>
      </w:r>
    </w:p>
    <w:p>
      <w:pPr>
        <w:pStyle w:val="ListParagraph"/>
        <w:numPr>
          <w:ilvl w:val="0"/>
          <w:numId w:val="1"/>
        </w:numPr>
        <w:spacing w:after="60"/>
      </w:pPr>
      <w:r>
        <w:rPr>
          <w:rFonts w:ascii="Calibri" w:cs="Calibri" w:eastAsia="Calibri" w:hAnsi="Calibri"/>
          <w:sz w:val="22"/>
          <w:szCs w:val="22"/>
        </w:rPr>
        <w:t xml:space="preserve">No formula, filter, or dedup errors found after exhaustive 10-angle investigation</w:t>
      </w:r>
    </w:p>
    <w:p>
      <w:pPr>
        <w:pStyle w:val="Heading2"/>
        <w:pBdr>
          <w:bottom w:val="single" w:color="2E75B6" w:sz="2"/>
        </w:pBdr>
        <w:spacing w:after="120" w:before="240"/>
      </w:pPr>
      <w:r>
        <w:rPr>
          <w:rFonts w:ascii="Calibri" w:cs="Calibri" w:eastAsia="Calibri" w:hAnsi="Calibri"/>
          <w:b/>
          <w:bCs/>
          <w:color w:val="1F3864"/>
          <w:sz w:val="28"/>
          <w:szCs w:val="28"/>
        </w:rPr>
        <w:t xml:space="preserve">5.2 Root Cause Summary</w:t>
      </w:r>
    </w:p>
    <w:p>
      <w:pPr>
        <w:spacing w:after="120"/>
      </w:pPr>
      <w:r>
        <w:rPr>
          <w:rFonts w:ascii="Calibri" w:cs="Calibri" w:eastAsia="Calibri" w:hAnsi="Calibri"/>
          <w:sz w:val="22"/>
          <w:szCs w:val="22"/>
        </w:rPr>
        <w:t xml:space="preserve">Every variance between Dashboard and CRD has the same root cause: Data Extraction Timing.</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Source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20"/>
                <w:szCs w:val="20"/>
              </w:rPr>
              <w:t xml:space="preserve">Timing</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Dashboard</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Weekly ETL snapshot from TSC ION ERP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Captured 4× per month (w1-w4)</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CRD</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Live query on TSC ION ERP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20"/>
                <w:szCs w:val="20"/>
              </w:rPr>
              <w:t xml:space="preserve">Generated January 29, 2025</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Between our weekly snapshot and CRD generation, invoices continue to be processed in the live ERP — new invoices are created, existing invoices are exported to GL, and some are reverted. This creates small, predictable differences that diminish as months age and all transactions settle.</w:t>
      </w:r>
    </w:p>
    <w:p>
      <w:pPr>
        <w:pStyle w:val="Heading2"/>
        <w:pBdr>
          <w:bottom w:val="single" w:color="2E75B6" w:sz="2"/>
        </w:pBdr>
        <w:spacing w:after="120" w:before="240"/>
      </w:pPr>
      <w:r>
        <w:rPr>
          <w:rFonts w:ascii="Calibri" w:cs="Calibri" w:eastAsia="Calibri" w:hAnsi="Calibri"/>
          <w:b/>
          <w:bCs/>
          <w:color w:val="1F3864"/>
          <w:sz w:val="28"/>
          <w:szCs w:val="28"/>
        </w:rPr>
        <w:t xml:space="preserve">5.3 Proof of Formula Correctness</w:t>
      </w:r>
    </w:p>
    <w:p>
      <w:pPr>
        <w:pStyle w:val="ListParagraph"/>
        <w:numPr>
          <w:ilvl w:val="0"/>
          <w:numId w:val="1"/>
        </w:numPr>
        <w:spacing w:after="60"/>
      </w:pPr>
      <w:r>
        <w:rPr>
          <w:rFonts w:ascii="Calibri" w:cs="Calibri" w:eastAsia="Calibri" w:hAnsi="Calibri"/>
          <w:sz w:val="22"/>
          <w:szCs w:val="22"/>
        </w:rPr>
        <w:t xml:space="preserve">URIPB matches CRD across ALL 10 months with zero exceptions</w:t>
      </w:r>
    </w:p>
    <w:p>
      <w:pPr>
        <w:pStyle w:val="ListParagraph"/>
        <w:numPr>
          <w:ilvl w:val="0"/>
          <w:numId w:val="1"/>
        </w:numPr>
        <w:spacing w:after="60"/>
      </w:pPr>
      <w:r>
        <w:rPr>
          <w:rFonts w:ascii="Calibri" w:cs="Calibri" w:eastAsia="Calibri" w:hAnsi="Calibri"/>
          <w:sz w:val="22"/>
          <w:szCs w:val="22"/>
        </w:rPr>
        <w:t xml:space="preserve">URIPU matches CRD in 9 out of 10 months</w:t>
      </w:r>
    </w:p>
    <w:p>
      <w:pPr>
        <w:pStyle w:val="ListParagraph"/>
        <w:numPr>
          <w:ilvl w:val="0"/>
          <w:numId w:val="1"/>
        </w:numPr>
        <w:spacing w:after="60"/>
      </w:pPr>
      <w:r>
        <w:rPr>
          <w:rFonts w:ascii="Calibri" w:cs="Calibri" w:eastAsia="Calibri" w:hAnsi="Calibri"/>
          <w:sz w:val="22"/>
          <w:szCs w:val="22"/>
        </w:rPr>
        <w:t xml:space="preserve">April through November 2024 (32 data points): 100% match across all 4 sites</w:t>
      </w:r>
    </w:p>
    <w:p>
      <w:pPr>
        <w:pStyle w:val="ListParagraph"/>
        <w:numPr>
          <w:ilvl w:val="0"/>
          <w:numId w:val="1"/>
        </w:numPr>
        <w:spacing w:after="60"/>
      </w:pPr>
      <w:r>
        <w:rPr>
          <w:rFonts w:ascii="Calibri" w:cs="Calibri" w:eastAsia="Calibri" w:hAnsi="Calibri"/>
          <w:sz w:val="22"/>
          <w:szCs w:val="22"/>
        </w:rPr>
        <w:t xml:space="preserve">Every gap is negative (Dashboard &lt; CRD), consistent with snapshot-before-export timing</w:t>
      </w:r>
    </w:p>
    <w:p>
      <w:pPr>
        <w:pStyle w:val="ListParagraph"/>
        <w:numPr>
          <w:ilvl w:val="0"/>
          <w:numId w:val="1"/>
        </w:numPr>
        <w:spacing w:after="60"/>
      </w:pPr>
      <w:r>
        <w:rPr>
          <w:rFonts w:ascii="Calibri" w:cs="Calibri" w:eastAsia="Calibri" w:hAnsi="Calibri"/>
          <w:sz w:val="22"/>
          <w:szCs w:val="22"/>
        </w:rPr>
        <w:t xml:space="preserve">No gap exceeds 5% of the site-month revenue</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United Rubber Sales Analytics Dashboard is a validated, accurate, and reliable tool for monitoring domestic sales performance across all sites.</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jc w:val="center"/>
      </w:pPr>
      <w:r>
        <w:rPr>
          <w:rFonts w:ascii="Calibri" w:cs="Calibri" w:eastAsia="Calibri" w:hAnsi="Calibri"/>
          <w:i/>
          <w:iCs/>
          <w:color w:val="595959"/>
          <w:sz w:val="22"/>
          <w:szCs w:val="22"/>
        </w:rPr>
        <w:t xml:space="preserve">— End of Document —</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Calibri" w:cs="Calibri" w:eastAsia="Calibri" w:hAnsi="Calibri"/>
        <w:color w:val="595959"/>
        <w:sz w:val="16"/>
        <w:szCs w:val="16"/>
      </w:rPr>
      <w:t xml:space="preserve">Confidential — Prepared by Datalytics Foundry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595959"/>
        <w:sz w:val="18"/>
        <w:szCs w:val="18"/>
      </w:rPr>
      <w:t xml:space="preserve">United Rubber Industries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Rubber — Sales Analytics Dashboard: Project Overview &amp; Data Validation Report</dc:title>
  <dc:creator>Datalytics Foundry</dc:creator>
  <dc:description>Complete project overview, dashboard script, working flow, and CRD data validation with root cause analysis</dc:description>
  <cp:lastModifiedBy>Un-named</cp:lastModifiedBy>
  <cp:revision>1</cp:revision>
  <dcterms:created xsi:type="dcterms:W3CDTF">2026-03-08T11:21:32.626Z</dcterms:created>
  <dcterms:modified xsi:type="dcterms:W3CDTF">2026-03-08T11:21:32.639Z</dcterms:modified>
</cp:coreProperties>
</file>

<file path=docProps/custom.xml><?xml version="1.0" encoding="utf-8"?>
<Properties xmlns="http://schemas.openxmlformats.org/officeDocument/2006/custom-properties" xmlns:vt="http://schemas.openxmlformats.org/officeDocument/2006/docPropsVTypes"/>
</file>