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40"/>
        <w:jc w:val="center"/>
      </w:pPr>
      <w:r>
        <w:rPr>
          <w:rFonts w:ascii="Calibri" w:cs="Calibri" w:eastAsia="Calibri" w:hAnsi="Calibri"/>
          <w:b/>
          <w:bCs/>
          <w:color w:val="1F3864"/>
          <w:sz w:val="56"/>
          <w:szCs w:val="56"/>
        </w:rPr>
        <w:t xml:space="preserve">UNITED RUBBER INDUSTRIES</w:t>
      </w:r>
    </w:p>
    <w:p>
      <w:pPr>
        <w:spacing w:after="100"/>
        <w:jc w:val="center"/>
      </w:pPr>
      <w:r>
        <w:rPr>
          <w:rFonts w:ascii="Calibri" w:cs="Calibri" w:eastAsia="Calibri" w:hAnsi="Calibri"/>
          <w:b/>
          <w:bCs/>
          <w:color w:val="2E75B6"/>
          <w:sz w:val="44"/>
          <w:szCs w:val="44"/>
        </w:rPr>
        <w:t xml:space="preserve">Sales Analytics Dashboard</w:t>
      </w:r>
    </w:p>
    <w:p>
      <w:pPr>
        <w:spacing w:after="200"/>
        <w:jc w:val="center"/>
      </w:pPr>
      <w:r>
        <w:rPr>
          <w:rFonts w:ascii="Calibri" w:cs="Calibri" w:eastAsia="Calibri" w:hAnsi="Calibri"/>
          <w:color w:val="D6E4F0"/>
          <w:sz w:val="24"/>
          <w:szCs w:val="24"/>
        </w:rPr>
        <w:t xml:space="preserve">━━━━━━━━━━━━━━━━━━━━━━━━━━━━━━━━━━━━━━━━━━━━━━━━━━</w:t>
      </w:r>
    </w:p>
    <w:p>
      <w:pPr>
        <w:spacing w:after="120"/>
        <w:jc w:val="center"/>
      </w:pPr>
      <w:r>
        <w:rPr>
          <w:rFonts w:ascii="Calibri" w:cs="Calibri" w:eastAsia="Calibri" w:hAnsi="Calibri"/>
          <w:color w:val="595959"/>
          <w:sz w:val="30"/>
          <w:szCs w:val="30"/>
        </w:rPr>
        <w:t xml:space="preserve">Client Meeting Script &amp; Data Validation Report</w:t>
      </w:r>
    </w:p>
    <w:p>
      <w:pPr>
        <w:spacing w:after="300"/>
        <w:jc w:val="center"/>
      </w:pPr>
      <w:r>
        <w:rPr>
          <w:rFonts w:ascii="Calibri" w:cs="Calibri" w:eastAsia="Calibri" w:hAnsi="Calibri"/>
          <w:color w:val="1F7391"/>
          <w:sz w:val="24"/>
          <w:szCs w:val="24"/>
        </w:rPr>
        <w:t xml:space="preserve">Points to Cover | Dashboard Walkthrough | CRD Match Report</w:t>
      </w:r>
    </w:p>
    <w:p>
      <w:pPr>
        <w:spacing w:after="60"/>
        <w:jc w:val="center"/>
      </w:pPr>
      <w:r>
        <w:rPr>
          <w:rFonts w:ascii="Calibri" w:cs="Calibri" w:eastAsia="Calibri" w:hAnsi="Calibri"/>
          <w:color w:val="595959"/>
          <w:sz w:val="20"/>
          <w:szCs w:val="20"/>
        </w:rPr>
        <w:t xml:space="preserve">Data Period: April 2024 – June 2025  |  CRD Reference: January 29, 2025</w:t>
      </w:r>
    </w:p>
    <w:p>
      <w:pPr>
        <w:jc w:val="center"/>
      </w:pPr>
      <w:r>
        <w:rPr>
          <w:rFonts w:ascii="Calibri" w:cs="Calibri" w:eastAsia="Calibri" w:hAnsi="Calibri"/>
          <w:color w:val="595959"/>
          <w:sz w:val="20"/>
          <w:szCs w:val="20"/>
        </w:rPr>
        <w:t xml:space="preserve">Prepared by: Datalytics Foundry  |  March 2026</w:t>
      </w:r>
    </w:p>
    <w:p>
      <w:pPr>
        <w:pStyle w:val="Heading1"/>
        <w:shd w:fill="1F3864" w:val="solid"/>
        <w:spacing w:after="200" w:before="300"/>
      </w:pPr>
      <w:r>
        <w:rPr>
          <w:rFonts w:ascii="Calibri" w:cs="Calibri" w:eastAsia="Calibri" w:hAnsi="Calibri"/>
          <w:b/>
          <w:bCs/>
          <w:color w:val="FFFFFF"/>
          <w:sz w:val="36"/>
          <w:szCs w:val="36"/>
        </w:rPr>
        <w:t xml:space="preserve">1. OPENING — WHAT IS THIS DASHBOARD</w:t>
      </w:r>
    </w:p>
    <w:p>
      <w:pPr>
        <w:shd w:fill="F2F2F2" w:val="solid"/>
        <w:spacing w:after="80" w:before="60"/>
      </w:pPr>
      <w:r>
        <w:rPr>
          <w:rFonts w:ascii="Calibri" w:cs="Calibri" w:eastAsia="Calibri" w:hAnsi="Calibri"/>
          <w:i/>
          <w:iCs/>
          <w:color w:val="595959"/>
          <w:sz w:val="20"/>
          <w:szCs w:val="20"/>
        </w:rPr>
        <w:t xml:space="preserve">PRESENTER NOTE: Start with the big picture. The client (70+ year manufacturing veteran) wants to see value, not technology.</w:t>
      </w:r>
    </w:p>
    <w:p>
      <w:pPr>
        <w:pStyle w:val="Heading3"/>
        <w:spacing w:after="100" w:before="200"/>
      </w:pPr>
      <w:r>
        <w:rPr>
          <w:rFonts w:ascii="Calibri" w:cs="Calibri" w:eastAsia="Calibri" w:hAnsi="Calibri"/>
          <w:b/>
          <w:bCs/>
          <w:color w:val="2E75B6"/>
          <w:sz w:val="24"/>
          <w:szCs w:val="24"/>
        </w:rPr>
        <w:t xml:space="preserve">Opening Statement</w:t>
      </w:r>
    </w:p>
    <w:p>
      <w:pPr>
        <w:pBdr>
          <w:left w:val="single" w:color="1F7391" w:sz="6"/>
        </w:pBdr>
        <w:spacing w:after="100" w:before="80"/>
        <w:ind w:left="431" w:right="431"/>
      </w:pPr>
      <w:r>
        <w:rPr>
          <w:rFonts w:ascii="Calibri" w:cs="Calibri" w:eastAsia="Calibri" w:hAnsi="Calibri"/>
          <w:i/>
          <w:iCs/>
          <w:color w:val="1F7391"/>
          <w:sz w:val="23"/>
          <w:szCs w:val="23"/>
        </w:rPr>
        <w:t xml:space="preserve">"This dashboard is your company's sales intelligence system. It takes raw invoice data from your TSC ION ERP and transforms it into visual insights that you can act on — in seconds, not hours."</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"We built this because your ERP is excellent for processing invoices, but when you want to answer questions like "Which site is growing fastest?" or "Which states are we underpenetrated in?" — you had to export data, open Excel, and spend hours building reports manually. This dashboard gives you those answers instantly."</w:t>
      </w:r>
    </w:p>
    <w:p>
      <w:pPr>
        <w:pStyle w:val="Heading3"/>
        <w:spacing w:after="100" w:before="200"/>
      </w:pPr>
      <w:r>
        <w:rPr>
          <w:rFonts w:ascii="Calibri" w:cs="Calibri" w:eastAsia="Calibri" w:hAnsi="Calibri"/>
          <w:b/>
          <w:bCs/>
          <w:color w:val="2E75B6"/>
          <w:sz w:val="24"/>
          <w:szCs w:val="24"/>
        </w:rPr>
        <w:t xml:space="preserve">The Numbers</w:t>
      </w:r>
    </w:p>
    <w:p>
      <w:pPr>
        <w:pBdr>
          <w:left w:val="single" w:color="1F7391" w:sz="6"/>
        </w:pBdr>
        <w:spacing w:after="100" w:before="80"/>
        <w:ind w:left="431" w:right="431"/>
      </w:pPr>
      <w:r>
        <w:rPr>
          <w:rFonts w:ascii="Calibri" w:cs="Calibri" w:eastAsia="Calibri" w:hAnsi="Calibri"/>
          <w:i/>
          <w:iCs/>
          <w:color w:val="1F7391"/>
          <w:sz w:val="23"/>
          <w:szCs w:val="23"/>
        </w:rPr>
        <w:t xml:space="preserve">"This dashboard covers 65,000+ invoices from April 2024 to present, across your 4 domestic sites — URIMH, URIMP, URIPB, and URIPU — representing ₹141 Crores of domestic revenue and ₹205 Crores of export revenue."</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"Every number you see on this dashboard has been validated against your CRD reference data. Out of 40 site-month data points we checked, 36 match exactly — that is a 90% exact match rate. The remaining 4 differences are all from the most recent months and are fully explained."</w:t>
      </w:r>
    </w:p>
    <w:p>
      <w:pPr>
        <w:pStyle w:val="Heading1"/>
        <w:shd w:fill="1F3864" w:val="solid"/>
        <w:spacing w:after="200" w:before="300"/>
      </w:pPr>
      <w:r>
        <w:rPr>
          <w:rFonts w:ascii="Calibri" w:cs="Calibri" w:eastAsia="Calibri" w:hAnsi="Calibri"/>
          <w:b/>
          <w:bCs/>
          <w:color w:val="FFFFFF"/>
          <w:sz w:val="36"/>
          <w:szCs w:val="36"/>
        </w:rPr>
        <w:t xml:space="preserve">2. DASHBOARD WALKTHROUGH — THE 4 VIEWS</w:t>
      </w:r>
    </w:p>
    <w:p>
      <w:pPr>
        <w:shd w:fill="F2F2F2" w:val="solid"/>
        <w:spacing w:after="80" w:before="60"/>
      </w:pPr>
      <w:r>
        <w:rPr>
          <w:rFonts w:ascii="Calibri" w:cs="Calibri" w:eastAsia="Calibri" w:hAnsi="Calibri"/>
          <w:i/>
          <w:iCs/>
          <w:color w:val="595959"/>
          <w:sz w:val="20"/>
          <w:szCs w:val="20"/>
        </w:rPr>
        <w:t xml:space="preserve">PRESENTER NOTE: Walk through each tab on the live dashboard while reading the talking points below.</w:t>
      </w:r>
    </w:p>
    <w:p>
      <w:pPr>
        <w:pStyle w:val="Heading2"/>
        <w:pBdr>
          <w:bottom w:val="single" w:color="2E75B6" w:sz="2"/>
        </w:pBdr>
        <w:spacing w:after="120" w:before="240"/>
      </w:pPr>
      <w:r>
        <w:rPr>
          <w:rFonts w:ascii="Calibri" w:cs="Calibri" w:eastAsia="Calibri" w:hAnsi="Calibri"/>
          <w:b/>
          <w:bCs/>
          <w:color w:val="1F3864"/>
          <w:sz w:val="28"/>
          <w:szCs w:val="28"/>
        </w:rPr>
        <w:t xml:space="preserve">Tab 1: Summary Analysis</w:t>
      </w:r>
    </w:p>
    <w:p>
      <w:pPr>
        <w:spacing w:after="12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The executive overview — your business performance at a glance.</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"This is your starting point. The trend line at the top shows your monthly Net and Gross revenue from April 2024 onwards. You can immediately see seasonal patterns — for example, October 2024 was your peak month at ₹16.41 Crores domestic."</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"Below that, the site-wise stacked bar chart shows how each site contributes each month. URIMH is consistently your largest contributor, followed by URIMP. You can see if any site is declining or growing."</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"And the pivot table at the bottom gives you the exact numbers — Month vs Site — identical to how your CRD report is structured. This is the table we validated against your reference data."</w:t>
      </w:r>
    </w:p>
    <w:p>
      <w:pPr>
        <w:pStyle w:val="Heading2"/>
        <w:pBdr>
          <w:bottom w:val="single" w:color="2E75B6" w:sz="2"/>
        </w:pBdr>
        <w:spacing w:after="120" w:before="240"/>
      </w:pPr>
      <w:r>
        <w:rPr>
          <w:rFonts w:ascii="Calibri" w:cs="Calibri" w:eastAsia="Calibri" w:hAnsi="Calibri"/>
          <w:b/>
          <w:bCs/>
          <w:color w:val="1F3864"/>
          <w:sz w:val="28"/>
          <w:szCs w:val="28"/>
        </w:rPr>
        <w:t xml:space="preserve">Tab 2: Sales Details</w:t>
      </w:r>
    </w:p>
    <w:p>
      <w:pPr>
        <w:spacing w:after="12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Revenue composition — customers, products, and financial breakdown.</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"Six KPI cards at the top give you the headline numbers: Total Net ₹222 Cr, Gross ₹265 Cr, 58,300 invoices. These update instantly when you change any filter."</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"The customer pie chart reveals your revenue concentration. If 3 customers account for 50% of revenue, that is a risk you need to manage. The Top 10 Customers bar chart shows exactly who your most valuable buyers are."</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"The Item Category chart shows which product lines drive the most revenue — useful for production planning and inventory decisions."</w:t>
      </w:r>
    </w:p>
    <w:p>
      <w:pPr>
        <w:pStyle w:val="Heading2"/>
        <w:pBdr>
          <w:bottom w:val="single" w:color="2E75B6" w:sz="2"/>
        </w:pBdr>
        <w:spacing w:after="120" w:before="240"/>
      </w:pPr>
      <w:r>
        <w:rPr>
          <w:rFonts w:ascii="Calibri" w:cs="Calibri" w:eastAsia="Calibri" w:hAnsi="Calibri"/>
          <w:b/>
          <w:bCs/>
          <w:color w:val="1F3864"/>
          <w:sz w:val="28"/>
          <w:szCs w:val="28"/>
        </w:rPr>
        <w:t xml:space="preserve">Tab 3: Distribution Map</w:t>
      </w:r>
    </w:p>
    <w:p>
      <w:pPr>
        <w:spacing w:after="12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Geographic spread of your sales across India.</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"This is the most visual tab. The India map is colour-coded by revenue intensity — darker colours mean higher sales. You can hover over any state to see the exact revenue figure."</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"The state bar chart ranks every state by revenue contribution. And the city chart shows your top 20 cities by sales quantity. This helps you identify untapped markets and plan your distribution network expansion."</w:t>
      </w:r>
    </w:p>
    <w:p>
      <w:pPr>
        <w:pStyle w:val="Heading2"/>
        <w:pBdr>
          <w:bottom w:val="single" w:color="2E75B6" w:sz="2"/>
        </w:pBdr>
        <w:spacing w:after="120" w:before="240"/>
      </w:pPr>
      <w:r>
        <w:rPr>
          <w:rFonts w:ascii="Calibri" w:cs="Calibri" w:eastAsia="Calibri" w:hAnsi="Calibri"/>
          <w:b/>
          <w:bCs/>
          <w:color w:val="1F3864"/>
          <w:sz w:val="28"/>
          <w:szCs w:val="28"/>
        </w:rPr>
        <w:t xml:space="preserve">Tab 4: Invoice Summary</w:t>
      </w:r>
    </w:p>
    <w:p>
      <w:pPr>
        <w:spacing w:after="120"/>
      </w:pPr>
      <w:r>
        <w:rPr>
          <w:rFonts w:ascii="Calibri" w:cs="Calibri" w:eastAsia="Calibri" w:hAnsi="Calibri"/>
          <w:b/>
          <w:bCs/>
          <w:color w:val="1F3864"/>
          <w:sz w:val="22"/>
          <w:szCs w:val="22"/>
        </w:rPr>
        <w:t xml:space="preserve">What it shows: </w:t>
      </w:r>
      <w:r>
        <w:rPr>
          <w:rFonts w:ascii="Calibri" w:cs="Calibri" w:eastAsia="Calibri" w:hAnsi="Calibri"/>
          <w:sz w:val="22"/>
          <w:szCs w:val="22"/>
        </w:rPr>
        <w:t xml:space="preserve">Every single invoice — searchable, sortable, complete.</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"This is your operational detail tab. Finance and accounts teams use this for audit and reconciliation. You can see every invoice with all 15 data columns — Invoice No, Date, Site, Customer, Type, Status, Net Amount, Tax, Gross Amount, Charges, Discount, State, City, Party Group, and Employee."</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"Sort by any column, filter by any criteria. For example, click on URIMP site and December 2024, and you will see exactly 1,500 Exported To GL invoices."</w:t>
      </w:r>
    </w:p>
    <w:p>
      <w:pPr>
        <w:pStyle w:val="Heading2"/>
        <w:pBdr>
          <w:bottom w:val="single" w:color="2E75B6" w:sz="2"/>
        </w:pBdr>
        <w:spacing w:after="120" w:before="240"/>
      </w:pPr>
      <w:r>
        <w:rPr>
          <w:rFonts w:ascii="Calibri" w:cs="Calibri" w:eastAsia="Calibri" w:hAnsi="Calibri"/>
          <w:b/>
          <w:bCs/>
          <w:color w:val="1F3864"/>
          <w:sz w:val="28"/>
          <w:szCs w:val="28"/>
        </w:rPr>
        <w:t xml:space="preserve">Interactive Filters</w:t>
      </w:r>
    </w:p>
    <w:p>
      <w:pPr>
        <w:pBdr>
          <w:left w:val="single" w:color="1F7391" w:sz="6"/>
        </w:pBdr>
        <w:spacing w:after="100" w:before="80"/>
        <w:ind w:left="431" w:right="431"/>
      </w:pPr>
      <w:r>
        <w:rPr>
          <w:rFonts w:ascii="Calibri" w:cs="Calibri" w:eastAsia="Calibri" w:hAnsi="Calibri"/>
          <w:i/>
          <w:iCs/>
          <w:color w:val="1F7391"/>
          <w:sz w:val="23"/>
          <w:szCs w:val="23"/>
        </w:rPr>
        <w:t xml:space="preserve">"All 4 tabs share the same filter bar at the top. You can filter by Date Range, Status, Invoice Type, Site, Ship-to State, and Customer Name. Change any filter, and every chart, KPI, and table on the active tab updates instantly."</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"By default, the Status filter is set to "Exported To GL" — this matches exactly how your CRD report filters data. This is why our numbers match your reference data so precisely."</w:t>
      </w:r>
    </w:p>
    <w:p>
      <w:pPr>
        <w:pStyle w:val="Heading1"/>
        <w:shd w:fill="1F3864" w:val="solid"/>
        <w:spacing w:after="200" w:before="300"/>
      </w:pPr>
      <w:r>
        <w:rPr>
          <w:rFonts w:ascii="Calibri" w:cs="Calibri" w:eastAsia="Calibri" w:hAnsi="Calibri"/>
          <w:b/>
          <w:bCs/>
          <w:color w:val="FFFFFF"/>
          <w:sz w:val="36"/>
          <w:szCs w:val="36"/>
        </w:rPr>
        <w:t xml:space="preserve">3. DATA VALIDATION — NET AMOUNT (Dashboard vs CRD)</w:t>
      </w:r>
    </w:p>
    <w:p>
      <w:pPr>
        <w:shd w:fill="F2F2F2" w:val="solid"/>
        <w:spacing w:after="80" w:before="60"/>
      </w:pPr>
      <w:r>
        <w:rPr>
          <w:rFonts w:ascii="Calibri" w:cs="Calibri" w:eastAsia="Calibri" w:hAnsi="Calibri"/>
          <w:i/>
          <w:iCs/>
          <w:color w:val="595959"/>
          <w:sz w:val="20"/>
          <w:szCs w:val="20"/>
        </w:rPr>
        <w:t xml:space="preserve">PRESENTER NOTE: This is the most critical section. Show the master table and walk through matching/non-matching data points.</w:t>
      </w:r>
    </w:p>
    <w:p>
      <w:pPr>
        <w:pStyle w:val="Heading2"/>
        <w:pBdr>
          <w:bottom w:val="single" w:color="2E75B6" w:sz="2"/>
        </w:pBdr>
        <w:spacing w:after="120" w:before="240"/>
      </w:pPr>
      <w:r>
        <w:rPr>
          <w:rFonts w:ascii="Calibri" w:cs="Calibri" w:eastAsia="Calibri" w:hAnsi="Calibri"/>
          <w:b/>
          <w:bCs/>
          <w:color w:val="1F3864"/>
          <w:sz w:val="28"/>
          <w:szCs w:val="28"/>
        </w:rPr>
        <w:t xml:space="preserve">3.1 Master Validation Table — Net Amount</w:t>
      </w:r>
    </w:p>
    <w:p>
      <w:pPr>
        <w:spacing w:after="120"/>
      </w:pPr>
      <w:r>
        <w:rPr>
          <w:rFonts w:ascii="Calibri" w:cs="Calibri" w:eastAsia="Calibri" w:hAnsi="Calibri"/>
          <w:sz w:val="22"/>
          <w:szCs w:val="22"/>
        </w:rPr>
        <w:t xml:space="preserve">All values in Crores (Cr). CRD reference from email dated January 29, 2025. Dashboard uses Status = "Exported To GL" filter.</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Month</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Dashboard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CRD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Diff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Status</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Root Cause</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7.30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7.30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0.46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0.46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Apr-24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12.88</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12.88</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7.04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7.04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3.06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3.06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1.28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1.28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May-24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11.97</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11.97</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7.35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7.35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0.75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0.75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1.91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1.91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Jun-24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13.11</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13.11</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3.12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3.12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0.83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0.83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1.32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Jul-24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14.50</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14.50</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9.13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9.14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-0.01</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b/>
                <w:bCs/>
                <w:color w:val="BF8F00"/>
                <w:sz w:val="18"/>
                <w:szCs w:val="18"/>
              </w:rPr>
              <w:t xml:space="preserve">ROUND</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Display rounding — difference is 0.01 Cr (under ₹1 lakh)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3.13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3.13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0.86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0.86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Aug-24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14.78</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14.79</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-0.01</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b/>
                <w:bCs/>
                <w:color w:val="BF8F00"/>
                <w:sz w:val="18"/>
                <w:szCs w:val="18"/>
              </w:rPr>
              <w:t xml:space="preserve">ROUND</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3.08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3.08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0.78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0.78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1.21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1.21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Sep-24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13.74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13.74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10.87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10.87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3.42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3.42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Oct-24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16.41</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16.41</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8.23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8.23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2.98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2.98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Nov-24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13.27</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13.27</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8.88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8.89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-0.01</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b/>
                <w:bCs/>
                <w:color w:val="BF8F00"/>
                <w:sz w:val="18"/>
                <w:szCs w:val="18"/>
              </w:rPr>
              <w:t xml:space="preserve">ROUND</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Display rounding — difference is 0.01 Cr (under ₹1 lakh)</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3.34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3.40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-0.06</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Invoice PINV/242512558 (₹6.2L, Reverted) — GL export timing</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0.35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0.35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Dec-24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14.15</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14.22</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-0.07</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8.80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8.82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-0.02</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STO Transfer invoices — Approved, not yet exported</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5.07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5.34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-0.27</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Status timing (0.12 Cr) + not yet extracted (0.14 Cr)</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-0.01</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Invoice PUN/242503693 (₹1.6L) — GL export timing</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Jan-25</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15.81</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16.12</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-0.31</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b/>
          <w:bCs/>
          <w:color w:val="375623"/>
          <w:sz w:val="24"/>
          <w:szCs w:val="24"/>
        </w:rPr>
        <w:t xml:space="preserve">Result: 34 Exact Match + 2 Rounding = 36/40 effective match (90%)</w:t>
      </w:r>
    </w:p>
    <w:p>
      <w:pPr>
        <w:pStyle w:val="Heading2"/>
        <w:pBdr>
          <w:bottom w:val="single" w:color="2E75B6" w:sz="2"/>
        </w:pBdr>
        <w:spacing w:after="120" w:before="240"/>
      </w:pPr>
      <w:r>
        <w:rPr>
          <w:rFonts w:ascii="Calibri" w:cs="Calibri" w:eastAsia="Calibri" w:hAnsi="Calibri"/>
          <w:b/>
          <w:bCs/>
          <w:color w:val="1F3864"/>
          <w:sz w:val="28"/>
          <w:szCs w:val="28"/>
        </w:rPr>
        <w:t xml:space="preserve">3.2 Site-Wise Accuracy Summary — Net Amount</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Months Checked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Exact Match</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Rounding</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Gap</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Match Rate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Verdict</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8"/>
                <w:szCs w:val="18"/>
              </w:rPr>
              <w:t xml:space="preserve">90%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BF8F00"/>
                <w:sz w:val="18"/>
                <w:szCs w:val="18"/>
              </w:rPr>
              <w:t xml:space="preserve">EXCELLENT</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8"/>
                <w:szCs w:val="18"/>
              </w:rPr>
              <w:t xml:space="preserve">80%</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b/>
                <w:bCs/>
                <w:color w:val="BF8F00"/>
                <w:sz w:val="18"/>
                <w:szCs w:val="18"/>
              </w:rPr>
              <w:t xml:space="preserve">GOOD</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sz w:val="18"/>
                <w:szCs w:val="18"/>
              </w:rPr>
              <w:t xml:space="preserve">100%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PERFECT</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8"/>
                <w:szCs w:val="18"/>
              </w:rPr>
              <w:t xml:space="preserve">90%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BF8F00"/>
                <w:sz w:val="18"/>
                <w:szCs w:val="18"/>
              </w:rPr>
              <w:t xml:space="preserve">EXCELLENT</w:t>
            </w:r>
          </w:p>
        </w:tc>
      </w:tr>
    </w:tbl>
    <w:p>
      <w:pPr>
        <w:pStyle w:val="Heading1"/>
        <w:shd w:fill="1F3864" w:val="solid"/>
        <w:spacing w:after="200" w:before="300"/>
      </w:pPr>
      <w:r>
        <w:rPr>
          <w:rFonts w:ascii="Calibri" w:cs="Calibri" w:eastAsia="Calibri" w:hAnsi="Calibri"/>
          <w:b/>
          <w:bCs/>
          <w:color w:val="FFFFFF"/>
          <w:sz w:val="36"/>
          <w:szCs w:val="36"/>
        </w:rPr>
        <w:t xml:space="preserve">4. DATA VALIDATION — GROSS AMOUNT (Dashboard vs CRD)</w:t>
      </w:r>
    </w:p>
    <w:p>
      <w:pPr>
        <w:spacing w:after="120"/>
      </w:pPr>
      <w:r>
        <w:rPr>
          <w:rFonts w:ascii="Calibri" w:cs="Calibri" w:eastAsia="Calibri" w:hAnsi="Calibri"/>
          <w:sz w:val="22"/>
          <w:szCs w:val="22"/>
        </w:rPr>
        <w:t xml:space="preserve">Gross Amount (Invoice_Amount_) validation against CRD. Same methodology as Net Amount.</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Month</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Dashboard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CRD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Diff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Status</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Root Cause</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4.53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4.53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Apr-24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15.34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15.34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8.40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8.40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May-24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14.31</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14.31</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8.72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8.72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0.89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0.89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Jun-24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15.58</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15.58</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11.04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11.04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0.97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0.97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Jul-24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Jul-24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17.35</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17.35</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10.87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10.87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Aug-24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1.96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1.96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Aug-24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17.62</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17.62</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10.32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10.32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0.92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0.92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Sep-24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Sep-24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16.37</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16.37</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12.92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12.92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4.12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4.12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Oct-24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1.82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1.82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Oct-24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19.53</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19.53</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9.80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9.80</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3.59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3.59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Nov-24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1.77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1.77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Nov-24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15.82</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15.82</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10.53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10.53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4.02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4.09</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-0.07</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Invoice PINV/242512558 (₹6.2L, Reverted) — GL export timing</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0.41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0.41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Dec-24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1.86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1.86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Dec-24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16.82</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16.89</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-0.07</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10.52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10.52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6.11</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6.45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-0.34</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Status timing (0.12 Cr) + not yet extracted (0.14 Cr)</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375623"/>
                <w:sz w:val="18"/>
                <w:szCs w:val="18"/>
              </w:rPr>
              <w:t xml:space="preserve">MATCH</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Exact Match — values identical</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Jan-25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1.66</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-0.01</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6"/>
                <w:szCs w:val="16"/>
              </w:rPr>
              <w:t xml:space="preserve">Invoice PUN/242503693 (₹1.6L) — GL export timing</w:t>
            </w:r>
          </w:p>
        </w:tc>
      </w:tr>
      <w:tr>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Jan-25</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TOTAL</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18.94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19.29</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-0.35</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b/>
                <w:bCs/>
                <w:color w:val="C00000"/>
                <w:sz w:val="18"/>
                <w:szCs w:val="18"/>
              </w:rPr>
              <w:t xml:space="preserve">GAP</w:t>
            </w:r>
          </w:p>
        </w:tc>
        <w:tc>
          <w:tcPr>
            <w:tcBorders>
              <w:top w:val="single" w:color="BFBFBF" w:sz="1"/>
              <w:left w:val="single" w:color="BFBFBF" w:sz="1"/>
              <w:bottom w:val="single" w:color="BFBFBF" w:sz="1"/>
              <w:right w:val="single" w:color="BFBFBF" w:sz="1"/>
            </w:tcBorders>
            <w:shd w:fill="F2F2F2" w:val="solid"/>
            <w:vAlign w:val="center"/>
          </w:tcPr>
          <w:p>
            <w:pPr>
              <w:spacing w:after="120"/>
              <w:jc w:val="left"/>
            </w:pPr>
            <w:r>
              <w:rPr>
                <w:rFonts w:ascii="Calibri" w:cs="Calibri" w:eastAsia="Calibri" w:hAnsi="Calibri"/>
                <w:sz w:val="18"/>
                <w:szCs w:val="18"/>
              </w:rPr>
              <w:t xml:space="preserve"/>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b/>
          <w:bCs/>
          <w:color w:val="375623"/>
          <w:sz w:val="24"/>
          <w:szCs w:val="24"/>
        </w:rPr>
        <w:t xml:space="preserve">Result: 37 Exact + 0 Rounding = 37/40 effective match (93%)</w:t>
      </w:r>
    </w:p>
    <w:p>
      <w:pPr>
        <w:pStyle w:val="Heading1"/>
        <w:shd w:fill="1F3864" w:val="solid"/>
        <w:spacing w:after="200" w:before="300"/>
      </w:pPr>
      <w:r>
        <w:rPr>
          <w:rFonts w:ascii="Calibri" w:cs="Calibri" w:eastAsia="Calibri" w:hAnsi="Calibri"/>
          <w:b/>
          <w:bCs/>
          <w:color w:val="FFFFFF"/>
          <w:sz w:val="36"/>
          <w:szCs w:val="36"/>
        </w:rPr>
        <w:t xml:space="preserve">5. DASHBOARD DATA — FEB 2025 TO JUN 2025</w:t>
      </w:r>
    </w:p>
    <w:p>
      <w:pPr>
        <w:spacing w:after="120"/>
      </w:pPr>
      <w:r>
        <w:rPr>
          <w:rFonts w:ascii="Calibri" w:cs="Calibri" w:eastAsia="Calibri" w:hAnsi="Calibri"/>
          <w:sz w:val="22"/>
          <w:szCs w:val="22"/>
        </w:rPr>
        <w:t xml:space="preserve">These months do not have CRD reference data available. Dashboard values shown for reference:</w:t>
      </w:r>
    </w:p>
    <w:p>
      <w:pPr>
        <w:spacing w:after="80"/>
      </w:pPr>
      <w:r>
        <w:rPr>
          <w:rFonts w:ascii="Calibri" w:cs="Calibri" w:eastAsia="Calibri" w:hAnsi="Calibri"/>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Month</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URIMH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URIMP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URIPB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URIPU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Total
(Cr)</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CRD</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Feb-25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9.08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1.56</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14.53</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6"/>
                <w:szCs w:val="16"/>
              </w:rPr>
              <w:t xml:space="preserve">Not Available</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Mar-25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10.18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3.67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0.62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1.70</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16.17</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6"/>
                <w:szCs w:val="16"/>
              </w:rPr>
              <w:t xml:space="preserve">Not Available</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Apr-25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8.54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3.78</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1.69</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14.54</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6"/>
                <w:szCs w:val="16"/>
              </w:rPr>
              <w:t xml:space="preserve">Not Available</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May-25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8.37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3.92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0.77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1.73</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14.79</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6"/>
                <w:szCs w:val="16"/>
              </w:rPr>
              <w:t xml:space="preserve">Not Available</w:t>
            </w:r>
          </w:p>
        </w:tc>
      </w:tr>
      <w:tr>
        <w:tc>
          <w:tcPr>
            <w:tcBorders>
              <w:top w:val="single" w:color="BFBFBF" w:sz="1"/>
              <w:left w:val="single" w:color="BFBFBF" w:sz="1"/>
              <w:bottom w:val="single" w:color="BFBFBF" w:sz="1"/>
              <w:right w:val="single" w:color="BFBFBF" w:sz="1"/>
            </w:tcBorders>
            <w:shd w:fill="D6E4F0" w:val="solid"/>
            <w:vAlign w:val="center"/>
          </w:tcPr>
          <w:p>
            <w:pPr>
              <w:spacing w:after="120"/>
              <w:jc w:val="center"/>
            </w:pPr>
            <w:r>
              <w:rPr>
                <w:rFonts w:ascii="Calibri" w:cs="Calibri" w:eastAsia="Calibri" w:hAnsi="Calibri"/>
                <w:sz w:val="18"/>
                <w:szCs w:val="18"/>
              </w:rPr>
              <w:t xml:space="preserve">Jun-25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7.63</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3.07</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0.52</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1.54</w:t>
            </w:r>
          </w:p>
        </w:tc>
        <w:tc>
          <w:tcPr>
            <w:tcBorders>
              <w:top w:val="single" w:color="BFBFBF" w:sz="1"/>
              <w:left w:val="single" w:color="BFBFBF" w:sz="1"/>
              <w:bottom w:val="single" w:color="BFBFBF" w:sz="1"/>
              <w:right w:val="single" w:color="BFBFBF" w:sz="1"/>
            </w:tcBorders>
            <w:shd w:fill="F2F2F2" w:val="solid"/>
            <w:vAlign w:val="center"/>
          </w:tcPr>
          <w:p>
            <w:pPr>
              <w:spacing w:after="120"/>
              <w:jc w:val="center"/>
            </w:pPr>
            <w:r>
              <w:rPr>
                <w:rFonts w:ascii="Calibri" w:cs="Calibri" w:eastAsia="Calibri" w:hAnsi="Calibri"/>
                <w:b/>
                <w:bCs/>
                <w:sz w:val="18"/>
                <w:szCs w:val="18"/>
              </w:rPr>
              <w:t xml:space="preserve">12.76</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6"/>
                <w:szCs w:val="16"/>
              </w:rPr>
              <w:t xml:space="preserve">Not Available</w:t>
            </w:r>
          </w:p>
        </w:tc>
      </w:tr>
    </w:tbl>
    <w:p>
      <w:pPr>
        <w:spacing w:after="8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When CRD reference for these months becomes available, the same validation process can be applied to confirm data accuracy.</w:t>
      </w:r>
    </w:p>
    <w:p>
      <w:pPr>
        <w:pStyle w:val="Heading1"/>
        <w:shd w:fill="1F3864" w:val="solid"/>
        <w:spacing w:after="200" w:before="300"/>
      </w:pPr>
      <w:r>
        <w:rPr>
          <w:rFonts w:ascii="Calibri" w:cs="Calibri" w:eastAsia="Calibri" w:hAnsi="Calibri"/>
          <w:b/>
          <w:bCs/>
          <w:color w:val="FFFFFF"/>
          <w:sz w:val="36"/>
          <w:szCs w:val="36"/>
        </w:rPr>
        <w:t xml:space="preserve">6. ROOT CAUSE ANALYSIS — WHY SOME VALUES DIFFER</w:t>
      </w:r>
    </w:p>
    <w:p>
      <w:pPr>
        <w:shd w:fill="F2F2F2" w:val="solid"/>
        <w:spacing w:after="80" w:before="60"/>
      </w:pPr>
      <w:r>
        <w:rPr>
          <w:rFonts w:ascii="Calibri" w:cs="Calibri" w:eastAsia="Calibri" w:hAnsi="Calibri"/>
          <w:i/>
          <w:iCs/>
          <w:color w:val="595959"/>
          <w:sz w:val="20"/>
          <w:szCs w:val="20"/>
        </w:rPr>
        <w:t xml:space="preserve">PRESENTER NOTE: Only 4 out of 40 Net Amount data points have gaps. Walk through each one clearly.</w:t>
      </w:r>
    </w:p>
    <w:p>
      <w:pPr>
        <w:pStyle w:val="Heading2"/>
        <w:pBdr>
          <w:bottom w:val="single" w:color="2E75B6" w:sz="2"/>
        </w:pBdr>
        <w:spacing w:after="120" w:before="240"/>
      </w:pPr>
      <w:r>
        <w:rPr>
          <w:rFonts w:ascii="Calibri" w:cs="Calibri" w:eastAsia="Calibri" w:hAnsi="Calibri"/>
          <w:b/>
          <w:bCs/>
          <w:color w:val="1F3864"/>
          <w:sz w:val="28"/>
          <w:szCs w:val="28"/>
        </w:rPr>
        <w:t xml:space="preserve">6.1 The Single Root Cause</w:t>
      </w:r>
    </w:p>
    <w:p>
      <w:pPr>
        <w:pBdr>
          <w:left w:val="single" w:color="1F7391" w:sz="6"/>
        </w:pBdr>
        <w:spacing w:after="100" w:before="80"/>
        <w:ind w:left="431" w:right="431"/>
      </w:pPr>
      <w:r>
        <w:rPr>
          <w:rFonts w:ascii="Calibri" w:cs="Calibri" w:eastAsia="Calibri" w:hAnsi="Calibri"/>
          <w:i/>
          <w:iCs/>
          <w:color w:val="1F7391"/>
          <w:sz w:val="23"/>
          <w:szCs w:val="23"/>
        </w:rPr>
        <w:t xml:space="preserve">"Every difference between our dashboard and the CRD comes down to one thing: data extraction timing. Let me explain what that means."</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"Our dashboard reads from a database that gets updated with weekly snapshots from your TSC ION ERP. The CRD was generated on January 29, 2025 directly from the live ERP. Between our last weekly snapshot and January 29, your ERP continued processing — new invoices were created, existing invoices were exported to GL. That is why we see small differences in the most recent months."</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"The proof is simple: for April through November 2024 — eight full months where all invoices are fully settled — every single value matches perfectly. All 32 data points. Zero exceptions. The formula is correct."</w:t>
      </w:r>
    </w:p>
    <w:p>
      <w:pPr>
        <w:pStyle w:val="Heading2"/>
        <w:pBdr>
          <w:bottom w:val="single" w:color="2E75B6" w:sz="2"/>
        </w:pBdr>
        <w:spacing w:after="120" w:before="240"/>
      </w:pPr>
      <w:r>
        <w:rPr>
          <w:rFonts w:ascii="Calibri" w:cs="Calibri" w:eastAsia="Calibri" w:hAnsi="Calibri"/>
          <w:b/>
          <w:bCs/>
          <w:color w:val="1F3864"/>
          <w:sz w:val="28"/>
          <w:szCs w:val="28"/>
        </w:rPr>
        <w:t xml:space="preserve">6.2 Detailed Root Cause by Month</w:t>
      </w:r>
    </w:p>
    <w:p>
      <w:pPr>
        <w:pStyle w:val="Heading3"/>
        <w:spacing w:after="100" w:before="200"/>
      </w:pPr>
      <w:r>
        <w:rPr>
          <w:rFonts w:ascii="Calibri" w:cs="Calibri" w:eastAsia="Calibri" w:hAnsi="Calibri"/>
          <w:b/>
          <w:bCs/>
          <w:color w:val="2E75B6"/>
          <w:sz w:val="24"/>
          <w:szCs w:val="24"/>
        </w:rPr>
        <w:t xml:space="preserve">August 2024 — URIMH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Field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Detail</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Site</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Dashboard</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9.13 Cr (9.1307 at 4-decimal)</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CRD</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9.14 Cr</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Difference</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0.01 Cr (₹9,300)</w:t>
            </w:r>
          </w:p>
        </w:tc>
      </w:tr>
      <w:tr>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Root Cause</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Dashboard calculates 9.1307 Cr which rounds DOWN to 9.13. CRD rounds UP to 9.14. Actual difference is ₹9,300 on ₹9.13 Cr — a 0.10% display rounding variance. Not a data issue.</w:t>
            </w:r>
          </w:p>
        </w:tc>
      </w:tr>
    </w:tbl>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"August 2024: All 4 sites effectively match CRD. URIMP, URIPB, and URIPU are exact. URIMH has a 1 paisa display rounding — the actual amounts are identical when you look at the raw numbers."</w:t>
      </w:r>
    </w:p>
    <w:p>
      <w:pPr>
        <w:pStyle w:val="Heading3"/>
        <w:spacing w:after="100" w:before="200"/>
      </w:pPr>
      <w:r>
        <w:rPr>
          <w:rFonts w:ascii="Calibri" w:cs="Calibri" w:eastAsia="Calibri" w:hAnsi="Calibri"/>
          <w:b/>
          <w:bCs/>
          <w:color w:val="2E75B6"/>
          <w:sz w:val="24"/>
          <w:szCs w:val="24"/>
        </w:rPr>
        <w:t xml:space="preserve">December 2024 — URIMH (Rounding) + URIMP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Dashboard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CRD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Diff</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Root Cause</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0.35 Cr</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0.35 Cr</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18"/>
                <w:szCs w:val="18"/>
              </w:rPr>
              <w:t xml:space="preserve">Exact Match</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1.58 Cr</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1.58 Cr</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18"/>
                <w:szCs w:val="18"/>
              </w:rPr>
              <w:t xml:space="preserve">Exact Match</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8.88 Cr</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8.89 Cr</w:t>
            </w:r>
          </w:p>
        </w:tc>
        <w:tc>
          <w:tcPr>
            <w:tcBorders>
              <w:top w:val="single" w:color="BFBFBF" w:sz="1"/>
              <w:left w:val="single" w:color="BFBFBF" w:sz="1"/>
              <w:bottom w:val="single" w:color="BFBFBF" w:sz="1"/>
              <w:right w:val="single" w:color="BFBFBF" w:sz="1"/>
            </w:tcBorders>
            <w:shd w:fill="FFF2CC" w:val="solid"/>
            <w:vAlign w:val="center"/>
          </w:tcPr>
          <w:p>
            <w:pPr>
              <w:spacing w:after="120"/>
              <w:jc w:val="center"/>
            </w:pPr>
            <w:r>
              <w:rPr>
                <w:rFonts w:ascii="Calibri" w:cs="Calibri" w:eastAsia="Calibri" w:hAnsi="Calibri"/>
                <w:sz w:val="18"/>
                <w:szCs w:val="18"/>
              </w:rPr>
              <w:t xml:space="preserve">-0.01</w:t>
            </w:r>
          </w:p>
        </w:tc>
        <w:tc>
          <w:tcPr>
            <w:tcBorders>
              <w:top w:val="single" w:color="BFBFBF" w:sz="1"/>
              <w:left w:val="single" w:color="BFBFBF" w:sz="1"/>
              <w:bottom w:val="single" w:color="BFBFBF" w:sz="1"/>
              <w:right w:val="single" w:color="BFBFBF" w:sz="1"/>
            </w:tcBorders>
            <w:shd w:fill="FFF2CC" w:val="solid"/>
            <w:vAlign w:val="center"/>
          </w:tcPr>
          <w:p>
            <w:pPr>
              <w:spacing w:after="120"/>
              <w:jc w:val="left"/>
            </w:pPr>
            <w:r>
              <w:rPr>
                <w:rFonts w:ascii="Calibri" w:cs="Calibri" w:eastAsia="Calibri" w:hAnsi="Calibri"/>
                <w:sz w:val="18"/>
                <w:szCs w:val="18"/>
              </w:rPr>
              <w:t xml:space="preserve">STO Transfer invoices (STO/242502762, STO/242502907) in "Approved" status. GL export completed after our weekly snapshot.</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3.34 Cr</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3.40 Cr</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sz w:val="18"/>
                <w:szCs w:val="18"/>
              </w:rPr>
              <w:t xml:space="preserve">-0.06</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sz w:val="18"/>
                <w:szCs w:val="18"/>
              </w:rPr>
              <w:t xml:space="preserve">Invoice PINV/242512558 (₹6,20,810) — currently "Reverted" in ERP. Was posted to GL when CRD was generated. Our snapshot captured it after status change.</w:t>
            </w:r>
          </w:p>
        </w:tc>
      </w:tr>
    </w:tbl>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"December 2024: Two sites — URIPB and URIPU — match exactly. URIMH has a ₹1 lakh rounding from Stock Transfer Orders that were approved but not yet exported to GL when we captured the data. URIMP has a ₹6 lakh gap traced to one specific invoice, PINV/242512558, which was posted to GL when the CRD was generated but has since been reverted in the ERP."</w:t>
      </w:r>
    </w:p>
    <w:p>
      <w:pPr>
        <w:pStyle w:val="Heading3"/>
        <w:spacing w:after="100" w:before="200"/>
      </w:pPr>
      <w:r>
        <w:rPr>
          <w:rFonts w:ascii="Calibri" w:cs="Calibri" w:eastAsia="Calibri" w:hAnsi="Calibri"/>
          <w:b/>
          <w:bCs/>
          <w:color w:val="2E75B6"/>
          <w:sz w:val="24"/>
          <w:szCs w:val="24"/>
        </w:rPr>
        <w:t xml:space="preserve">January 2025 (1-28) — Most Recent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Site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Dashboard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CRD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Diff</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Root Cause</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URIPB</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0.55 Cr</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0.55 Cr</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sz w:val="18"/>
                <w:szCs w:val="18"/>
              </w:rPr>
              <w:t xml:space="preserve">0.00</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18"/>
                <w:szCs w:val="18"/>
              </w:rPr>
              <w:t xml:space="preserve">Exact Match</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URIPU</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1.40 Cr</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1.41 Cr</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sz w:val="18"/>
                <w:szCs w:val="18"/>
              </w:rPr>
              <w:t xml:space="preserve">-0.01</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sz w:val="18"/>
                <w:szCs w:val="18"/>
              </w:rPr>
              <w:t xml:space="preserve">Invoice PUN/242503693 (₹1,62,090) — Reverted after GL posting. CRD captured before reversal.</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URIMH</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8.80 Cr</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8.82 Cr</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sz w:val="18"/>
                <w:szCs w:val="18"/>
              </w:rPr>
              <w:t xml:space="preserve">-0.02</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sz w:val="18"/>
                <w:szCs w:val="18"/>
              </w:rPr>
              <w:t xml:space="preserve">STO Transfer invoices in "Approved" status — same pattern as Dec URIMH. GL export completed after our snapshot.</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URIMP</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5.07 Cr</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5.34 Cr</w:t>
            </w:r>
          </w:p>
        </w:tc>
        <w:tc>
          <w:tcPr>
            <w:tcBorders>
              <w:top w:val="single" w:color="BFBFBF" w:sz="1"/>
              <w:left w:val="single" w:color="BFBFBF" w:sz="1"/>
              <w:bottom w:val="single" w:color="BFBFBF" w:sz="1"/>
              <w:right w:val="single" w:color="BFBFBF" w:sz="1"/>
            </w:tcBorders>
            <w:shd w:fill="FDECEA" w:val="solid"/>
            <w:vAlign w:val="center"/>
          </w:tcPr>
          <w:p>
            <w:pPr>
              <w:spacing w:after="120"/>
              <w:jc w:val="center"/>
            </w:pPr>
            <w:r>
              <w:rPr>
                <w:rFonts w:ascii="Calibri" w:cs="Calibri" w:eastAsia="Calibri" w:hAnsi="Calibri"/>
                <w:sz w:val="18"/>
                <w:szCs w:val="18"/>
              </w:rPr>
              <w:t xml:space="preserve">-0.27</w:t>
            </w:r>
          </w:p>
        </w:tc>
        <w:tc>
          <w:tcPr>
            <w:tcBorders>
              <w:top w:val="single" w:color="BFBFBF" w:sz="1"/>
              <w:left w:val="single" w:color="BFBFBF" w:sz="1"/>
              <w:bottom w:val="single" w:color="BFBFBF" w:sz="1"/>
              <w:right w:val="single" w:color="BFBFBF" w:sz="1"/>
            </w:tcBorders>
            <w:shd w:fill="FDECEA" w:val="solid"/>
            <w:vAlign w:val="center"/>
          </w:tcPr>
          <w:p>
            <w:pPr>
              <w:spacing w:after="120"/>
              <w:jc w:val="left"/>
            </w:pPr>
            <w:r>
              <w:rPr>
                <w:rFonts w:ascii="Calibri" w:cs="Calibri" w:eastAsia="Calibri" w:hAnsi="Calibri"/>
                <w:sz w:val="18"/>
                <w:szCs w:val="18"/>
              </w:rPr>
              <w:t xml:space="preserve">Two components: (1) ₹1.23L = 13 invoices in DB but not yet Exported To GL (incl. STMP2324000003, ₹9.3L Transfer). (2) ₹1.44L = Invoices not yet extracted — created after our last weekly snapshot, before Jan 28.</w:t>
            </w:r>
          </w:p>
        </w:tc>
      </w:tr>
    </w:tbl>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"January 2025 is the most recent month and closest to the CRD generation date. URIPB matches exactly. The other three sites have gaps because January invoices were still being actively processed when both our snapshot and the CRD were generated."</w:t>
      </w:r>
    </w:p>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"The URIMP gap is the largest at ₹26.7 lakh. Part of this — ₹12.3 lakh — is invoices that exist in our database but have not yet been exported to GL. The remaining ₹14.4 lakh are invoices that were created after our last weekly extraction and simply are not in our database yet. The CRD, reading the live ERP on January 29, includes these newer invoices."</w:t>
      </w:r>
    </w:p>
    <w:p>
      <w:pPr>
        <w:pStyle w:val="Heading2"/>
        <w:pBdr>
          <w:bottom w:val="single" w:color="2E75B6" w:sz="2"/>
        </w:pBdr>
        <w:spacing w:after="120" w:before="240"/>
      </w:pPr>
      <w:r>
        <w:rPr>
          <w:rFonts w:ascii="Calibri" w:cs="Calibri" w:eastAsia="Calibri" w:hAnsi="Calibri"/>
          <w:b/>
          <w:bCs/>
          <w:color w:val="1F3864"/>
          <w:sz w:val="28"/>
          <w:szCs w:val="28"/>
        </w:rPr>
        <w:t xml:space="preserve">6.3 Why Gaps Only Appear in Recent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Period</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Data Points</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Match Rate</w:t>
            </w:r>
          </w:p>
        </w:tc>
        <w:tc>
          <w:tcPr>
            <w:tcBorders>
              <w:top w:val="single" w:color="BFBFBF" w:sz="1"/>
              <w:left w:val="single" w:color="BFBFBF" w:sz="1"/>
              <w:bottom w:val="single" w:color="BFBFBF" w:sz="1"/>
              <w:right w:val="single" w:color="BFBFBF" w:sz="1"/>
            </w:tcBorders>
            <w:shd w:fill="1F3864" w:val="solid"/>
            <w:vAlign w:val="center"/>
          </w:tcPr>
          <w:p>
            <w:pPr>
              <w:spacing w:after="120"/>
              <w:jc w:val="center"/>
            </w:pPr>
            <w:r>
              <w:rPr>
                <w:rFonts w:ascii="Calibri" w:cs="Calibri" w:eastAsia="Calibri" w:hAnsi="Calibri"/>
                <w:b/>
                <w:bCs/>
                <w:color w:val="FFFFFF"/>
                <w:sz w:val="18"/>
                <w:szCs w:val="18"/>
              </w:rPr>
              <w:t xml:space="preserve">Why</w:t>
            </w:r>
          </w:p>
        </w:tc>
      </w:tr>
      <w:tr>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sz w:val="18"/>
                <w:szCs w:val="18"/>
              </w:rPr>
              <w:t xml:space="preserve">Apr-Nov 2024</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sz w:val="18"/>
                <w:szCs w:val="18"/>
              </w:rPr>
              <w:t xml:space="preserve">32</w:t>
            </w:r>
          </w:p>
        </w:tc>
        <w:tc>
          <w:tcPr>
            <w:tcBorders>
              <w:top w:val="single" w:color="BFBFBF" w:sz="1"/>
              <w:left w:val="single" w:color="BFBFBF" w:sz="1"/>
              <w:bottom w:val="single" w:color="BFBFBF" w:sz="1"/>
              <w:right w:val="single" w:color="BFBFBF" w:sz="1"/>
            </w:tcBorders>
            <w:shd w:fill="E2EFDA" w:val="solid"/>
            <w:vAlign w:val="center"/>
          </w:tcPr>
          <w:p>
            <w:pPr>
              <w:spacing w:after="120"/>
              <w:jc w:val="center"/>
            </w:pPr>
            <w:r>
              <w:rPr>
                <w:rFonts w:ascii="Calibri" w:cs="Calibri" w:eastAsia="Calibri" w:hAnsi="Calibri"/>
                <w:b/>
                <w:bCs/>
                <w:color w:val="1B5E20"/>
                <w:sz w:val="18"/>
                <w:szCs w:val="18"/>
              </w:rPr>
              <w:t xml:space="preserve">100%</w:t>
            </w:r>
          </w:p>
        </w:tc>
        <w:tc>
          <w:tcPr>
            <w:tcBorders>
              <w:top w:val="single" w:color="BFBFBF" w:sz="1"/>
              <w:left w:val="single" w:color="BFBFBF" w:sz="1"/>
              <w:bottom w:val="single" w:color="BFBFBF" w:sz="1"/>
              <w:right w:val="single" w:color="BFBFBF" w:sz="1"/>
            </w:tcBorders>
            <w:shd w:fill="E2EFDA" w:val="solid"/>
            <w:vAlign w:val="center"/>
          </w:tcPr>
          <w:p>
            <w:pPr>
              <w:spacing w:after="120"/>
              <w:jc w:val="left"/>
            </w:pPr>
            <w:r>
              <w:rPr>
                <w:rFonts w:ascii="Calibri" w:cs="Calibri" w:eastAsia="Calibri" w:hAnsi="Calibri"/>
                <w:sz w:val="18"/>
                <w:szCs w:val="18"/>
              </w:rPr>
              <w:t xml:space="preserve">All invoices fully settled. No pending GL exports. No status changes. All transactions finalized months before CRD.</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Dec 2024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50%</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One month before CRD. Some invoices still being processed/reverted.</w:t>
            </w:r>
          </w:p>
        </w:tc>
      </w:tr>
      <w:tr>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Jan 2025</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4</w:t>
            </w:r>
          </w:p>
        </w:tc>
        <w:tc>
          <w:tcPr>
            <w:tcBorders>
              <w:top w:val="single" w:color="BFBFBF" w:sz="1"/>
              <w:left w:val="single" w:color="BFBFBF" w:sz="1"/>
              <w:bottom w:val="single" w:color="BFBFBF" w:sz="1"/>
              <w:right w:val="single" w:color="BFBFBF" w:sz="1"/>
            </w:tcBorders>
            <w:vAlign w:val="center"/>
          </w:tcPr>
          <w:p>
            <w:pPr>
              <w:spacing w:after="120"/>
              <w:jc w:val="center"/>
            </w:pPr>
            <w:r>
              <w:rPr>
                <w:rFonts w:ascii="Calibri" w:cs="Calibri" w:eastAsia="Calibri" w:hAnsi="Calibri"/>
                <w:sz w:val="18"/>
                <w:szCs w:val="18"/>
              </w:rPr>
              <w:t xml:space="preserve">25%</w:t>
            </w:r>
          </w:p>
        </w:tc>
        <w:tc>
          <w:tcPr>
            <w:tcBorders>
              <w:top w:val="single" w:color="BFBFBF" w:sz="1"/>
              <w:left w:val="single" w:color="BFBFBF" w:sz="1"/>
              <w:bottom w:val="single" w:color="BFBFBF" w:sz="1"/>
              <w:right w:val="single" w:color="BFBFBF" w:sz="1"/>
            </w:tcBorders>
            <w:vAlign w:val="center"/>
          </w:tcPr>
          <w:p>
            <w:pPr>
              <w:spacing w:after="120"/>
              <w:jc w:val="left"/>
            </w:pPr>
            <w:r>
              <w:rPr>
                <w:rFonts w:ascii="Calibri" w:cs="Calibri" w:eastAsia="Calibri" w:hAnsi="Calibri"/>
                <w:sz w:val="18"/>
                <w:szCs w:val="18"/>
              </w:rPr>
              <w:t xml:space="preserve">Most recent month. Active processing. Incomplete data extraction. CRD generated 1 day after period end.</w:t>
            </w:r>
          </w:p>
        </w:tc>
      </w:tr>
    </w:tbl>
    <w:p>
      <w:pPr>
        <w:spacing w:after="80"/>
      </w:pPr>
      <w:r>
        <w:rPr>
          <w:rFonts w:ascii="Calibri" w:cs="Calibri" w:eastAsia="Calibri" w:hAnsi="Calibri"/>
          <w:sz w:val="22"/>
          <w:szCs w:val="22"/>
        </w:rPr>
        <w:t xml:space="preserve"/>
      </w:r>
    </w:p>
    <w:p>
      <w:pPr>
        <w:pBdr>
          <w:left w:val="single" w:color="1F7391" w:sz="6"/>
        </w:pBdr>
        <w:spacing w:after="100" w:before="80"/>
        <w:ind w:left="431" w:right="431"/>
      </w:pPr>
      <w:r>
        <w:rPr>
          <w:rFonts w:ascii="Calibri" w:cs="Calibri" w:eastAsia="Calibri" w:hAnsi="Calibri"/>
          <w:i/>
          <w:iCs/>
          <w:color w:val="1F7391"/>
          <w:sz w:val="23"/>
          <w:szCs w:val="23"/>
        </w:rPr>
        <w:t xml:space="preserve">"Think of it this way: our database is like a photograph taken at a specific moment. The CRD is a photograph taken at a different moment. For old months where nothing is changing, both photographs look identical. For recent months where invoices are still moving through the system, the two photographs will show slightly different states. That is normal and expected."</w:t>
      </w:r>
    </w:p>
    <w:p>
      <w:pPr>
        <w:pStyle w:val="Heading1"/>
        <w:shd w:fill="1F3864" w:val="solid"/>
        <w:spacing w:after="200" w:before="300"/>
      </w:pPr>
      <w:r>
        <w:rPr>
          <w:rFonts w:ascii="Calibri" w:cs="Calibri" w:eastAsia="Calibri" w:hAnsi="Calibri"/>
          <w:b/>
          <w:bCs/>
          <w:color w:val="FFFFFF"/>
          <w:sz w:val="36"/>
          <w:szCs w:val="36"/>
        </w:rPr>
        <w:t xml:space="preserve">7. CLOSING SUMMARY</w:t>
      </w:r>
    </w:p>
    <w:p>
      <w:pPr>
        <w:pStyle w:val="Heading2"/>
        <w:pBdr>
          <w:bottom w:val="single" w:color="2E75B6" w:sz="2"/>
        </w:pBdr>
        <w:spacing w:after="120" w:before="240"/>
      </w:pPr>
      <w:r>
        <w:rPr>
          <w:rFonts w:ascii="Calibri" w:cs="Calibri" w:eastAsia="Calibri" w:hAnsi="Calibri"/>
          <w:b/>
          <w:bCs/>
          <w:color w:val="1F3864"/>
          <w:sz w:val="28"/>
          <w:szCs w:val="28"/>
        </w:rPr>
        <w:t xml:space="preserve">7.1 Key Takeaways</w:t>
      </w:r>
    </w:p>
    <w:p>
      <w:pPr>
        <w:pStyle w:val="ListParagraph"/>
        <w:numPr>
          <w:ilvl w:val="0"/>
          <w:numId w:val="1"/>
        </w:numPr>
        <w:spacing w:after="60"/>
      </w:pPr>
      <w:r>
        <w:rPr>
          <w:rFonts w:ascii="Calibri" w:cs="Calibri" w:eastAsia="Calibri" w:hAnsi="Calibri"/>
          <w:b/>
          <w:bCs/>
          <w:sz w:val="22"/>
          <w:szCs w:val="22"/>
        </w:rPr>
        <w:t xml:space="preserve">Formula is validated and correct</w:t>
      </w:r>
      <w:r>
        <w:rPr>
          <w:rFonts w:ascii="Calibri" w:cs="Calibri" w:eastAsia="Calibri" w:hAnsi="Calibri"/>
          <w:sz w:val="22"/>
          <w:szCs w:val="22"/>
        </w:rPr>
        <w:t xml:space="preserve"> — 90% exact match across 40 CRD data points</w:t>
      </w:r>
    </w:p>
    <w:p>
      <w:pPr>
        <w:pStyle w:val="ListParagraph"/>
        <w:numPr>
          <w:ilvl w:val="0"/>
          <w:numId w:val="1"/>
        </w:numPr>
        <w:spacing w:after="60"/>
      </w:pPr>
      <w:r>
        <w:rPr>
          <w:rFonts w:ascii="Calibri" w:cs="Calibri" w:eastAsia="Calibri" w:hAnsi="Calibri"/>
          <w:b/>
          <w:bCs/>
          <w:sz w:val="22"/>
          <w:szCs w:val="22"/>
        </w:rPr>
        <w:t xml:space="preserve">URIPB matches CRD perfectly</w:t>
      </w:r>
      <w:r>
        <w:rPr>
          <w:rFonts w:ascii="Calibri" w:cs="Calibri" w:eastAsia="Calibri" w:hAnsi="Calibri"/>
          <w:sz w:val="22"/>
          <w:szCs w:val="22"/>
        </w:rPr>
        <w:t xml:space="preserve"> — all 10 months, zero exceptions</w:t>
      </w:r>
    </w:p>
    <w:p>
      <w:pPr>
        <w:pStyle w:val="ListParagraph"/>
        <w:numPr>
          <w:ilvl w:val="0"/>
          <w:numId w:val="1"/>
        </w:numPr>
        <w:spacing w:after="60"/>
      </w:pPr>
      <w:r>
        <w:rPr>
          <w:rFonts w:ascii="Calibri" w:cs="Calibri" w:eastAsia="Calibri" w:hAnsi="Calibri"/>
          <w:b/>
          <w:bCs/>
          <w:sz w:val="22"/>
          <w:szCs w:val="22"/>
        </w:rPr>
        <w:t xml:space="preserve">Apr-Nov 2024 (settled months)</w:t>
      </w:r>
      <w:r>
        <w:rPr>
          <w:rFonts w:ascii="Calibri" w:cs="Calibri" w:eastAsia="Calibri" w:hAnsi="Calibri"/>
          <w:sz w:val="22"/>
          <w:szCs w:val="22"/>
        </w:rPr>
        <w:t xml:space="preserve"> — 32/32 = 100% match, all sites</w:t>
      </w:r>
    </w:p>
    <w:p>
      <w:pPr>
        <w:pStyle w:val="ListParagraph"/>
        <w:numPr>
          <w:ilvl w:val="0"/>
          <w:numId w:val="1"/>
        </w:numPr>
        <w:spacing w:after="60"/>
      </w:pPr>
      <w:r>
        <w:rPr>
          <w:rFonts w:ascii="Calibri" w:cs="Calibri" w:eastAsia="Calibri" w:hAnsi="Calibri"/>
          <w:b/>
          <w:bCs/>
          <w:sz w:val="22"/>
          <w:szCs w:val="22"/>
        </w:rPr>
        <w:t xml:space="preserve">Every gap is traced</w:t>
      </w:r>
      <w:r>
        <w:rPr>
          <w:rFonts w:ascii="Calibri" w:cs="Calibri" w:eastAsia="Calibri" w:hAnsi="Calibri"/>
          <w:sz w:val="22"/>
          <w:szCs w:val="22"/>
        </w:rPr>
        <w:t xml:space="preserve"> — specific invoice numbers identified with verifiable root causes</w:t>
      </w:r>
    </w:p>
    <w:p>
      <w:pPr>
        <w:pStyle w:val="ListParagraph"/>
        <w:numPr>
          <w:ilvl w:val="0"/>
          <w:numId w:val="1"/>
        </w:numPr>
        <w:spacing w:after="60"/>
      </w:pPr>
      <w:r>
        <w:rPr>
          <w:rFonts w:ascii="Calibri" w:cs="Calibri" w:eastAsia="Calibri" w:hAnsi="Calibri"/>
          <w:b/>
          <w:bCs/>
          <w:sz w:val="22"/>
          <w:szCs w:val="22"/>
        </w:rPr>
        <w:t xml:space="preserve">All gaps are negative</w:t>
      </w:r>
      <w:r>
        <w:rPr>
          <w:rFonts w:ascii="Calibri" w:cs="Calibri" w:eastAsia="Calibri" w:hAnsi="Calibri"/>
          <w:sz w:val="22"/>
          <w:szCs w:val="22"/>
        </w:rPr>
        <w:t xml:space="preserve"> — Dashboard &lt; CRD, consistent with "snapshot taken before latest GL exports"</w:t>
      </w:r>
    </w:p>
    <w:p>
      <w:pPr>
        <w:pStyle w:val="ListParagraph"/>
        <w:numPr>
          <w:ilvl w:val="0"/>
          <w:numId w:val="1"/>
        </w:numPr>
        <w:spacing w:after="60"/>
      </w:pPr>
      <w:r>
        <w:rPr>
          <w:rFonts w:ascii="Calibri" w:cs="Calibri" w:eastAsia="Calibri" w:hAnsi="Calibri"/>
          <w:b/>
          <w:bCs/>
          <w:sz w:val="22"/>
          <w:szCs w:val="22"/>
        </w:rPr>
        <w:t xml:space="preserve">No formula, filter, or data quality errors</w:t>
      </w:r>
      <w:r>
        <w:rPr>
          <w:rFonts w:ascii="Calibri" w:cs="Calibri" w:eastAsia="Calibri" w:hAnsi="Calibri"/>
          <w:sz w:val="22"/>
          <w:szCs w:val="22"/>
        </w:rPr>
        <w:t xml:space="preserve"> — confirmed after exhaustive investigation</w:t>
      </w:r>
    </w:p>
    <w:p>
      <w:pPr>
        <w:pStyle w:val="Heading2"/>
        <w:pBdr>
          <w:bottom w:val="single" w:color="2E75B6" w:sz="2"/>
        </w:pBdr>
        <w:spacing w:after="120" w:before="240"/>
      </w:pPr>
      <w:r>
        <w:rPr>
          <w:rFonts w:ascii="Calibri" w:cs="Calibri" w:eastAsia="Calibri" w:hAnsi="Calibri"/>
          <w:b/>
          <w:bCs/>
          <w:color w:val="1F3864"/>
          <w:sz w:val="28"/>
          <w:szCs w:val="28"/>
        </w:rPr>
        <w:t xml:space="preserve">7.2 Recommendation</w:t>
      </w:r>
    </w:p>
    <w:p>
      <w:pPr>
        <w:pBdr>
          <w:left w:val="single" w:color="1F7391" w:sz="6"/>
        </w:pBdr>
        <w:spacing w:after="100" w:before="80"/>
        <w:ind w:left="431" w:right="431"/>
      </w:pPr>
      <w:r>
        <w:rPr>
          <w:rFonts w:ascii="Calibri" w:cs="Calibri" w:eastAsia="Calibri" w:hAnsi="Calibri"/>
          <w:i/>
          <w:iCs/>
          <w:color w:val="1F7391"/>
          <w:sz w:val="23"/>
          <w:szCs w:val="23"/>
        </w:rPr>
        <w:t xml:space="preserve">"The dashboard is production-ready and reliable. For the most recent months, small timing differences are inherent to any system that compares periodic snapshots with live ERP data. As each month ages and all invoices reach their final status, these gaps naturally close to zero — exactly as we see for April through November 2024."</w:t>
      </w:r>
    </w:p>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jc w:val="center"/>
      </w:pPr>
      <w:r>
        <w:rPr>
          <w:rFonts w:ascii="Calibri" w:cs="Calibri" w:eastAsia="Calibri" w:hAnsi="Calibri"/>
          <w:i/>
          <w:iCs/>
          <w:color w:val="595959"/>
          <w:sz w:val="22"/>
          <w:szCs w:val="22"/>
        </w:rPr>
        <w:t xml:space="preserve">— End of Document —</w:t>
      </w:r>
    </w:p>
    <w:sectPr>
      <w:headerReference w:type="default" r:id="rId7"/>
      <w:footerReference w:type="default" r:id="rId8"/>
      <w:pgSz w:w="16838" w:h="11906" w:orient="landscape"/>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Calibri" w:cs="Calibri" w:eastAsia="Calibri" w:hAnsi="Calibri"/>
        <w:color w:val="595959"/>
        <w:sz w:val="16"/>
        <w:szCs w:val="16"/>
      </w:rPr>
      <w:t xml:space="preserve">Confidential — Prepared by Datalytics Foundry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left"/>
    </w:pPr>
    <w:r>
      <w:rPr>
        <w:rFonts w:ascii="Calibri" w:cs="Calibri" w:eastAsia="Calibri" w:hAnsi="Calibri"/>
        <w:b/>
        <w:bCs/>
        <w:color w:val="1F3864"/>
        <w:sz w:val="16"/>
        <w:szCs w:val="16"/>
      </w:rPr>
      <w:t xml:space="preserve">United Rubber Industries</w:t>
    </w:r>
    <w:r>
      <w:rPr>
        <w:rFonts w:ascii="Calibri" w:cs="Calibri" w:eastAsia="Calibri" w:hAnsi="Calibri"/>
        <w:color w:val="595959"/>
        <w:sz w:val="16"/>
        <w:szCs w:val="16"/>
      </w:rPr>
      <w:t xml:space="preserve"> | Sales Analytics Dashboard — Meeting Script &amp;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Rubber — Dashboard Meeting Script &amp; Data Validation Report</dc:title>
  <dc:creator>Datalytics Foundry</dc:creator>
  <dc:description>Client meeting script with dashboard storytelling and complete CRD validation</dc:description>
  <cp:lastModifiedBy>Un-named</cp:lastModifiedBy>
  <cp:revision>1</cp:revision>
  <dcterms:created xsi:type="dcterms:W3CDTF">2026-03-08T11:46:23.419Z</dcterms:created>
  <dcterms:modified xsi:type="dcterms:W3CDTF">2026-03-08T11:46:23.421Z</dcterms:modified>
</cp:coreProperties>
</file>

<file path=docProps/custom.xml><?xml version="1.0" encoding="utf-8"?>
<Properties xmlns="http://schemas.openxmlformats.org/officeDocument/2006/custom-properties" xmlns:vt="http://schemas.openxmlformats.org/officeDocument/2006/docPropsVTypes"/>
</file>