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egro-dex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80"/>
        <w:jc w:val="center"/>
      </w:pPr>
      <w:r>
        <w:rPr>
          <w:rFonts w:ascii="Calibri" w:hAnsi="Calibri"/>
          <w:b/>
          <w:i w:val="0"/>
          <w:color w:val="018EDE"/>
          <w:sz w:val="22"/>
        </w:rPr>
        <w:t>PLAN DE INVERSIÓN Y ROADMAP TECNOLÓGICO</w:t>
      </w:r>
    </w:p>
    <w:p>
      <w:pPr>
        <w:jc w:val="center"/>
      </w:pPr>
      <w:r>
        <w:rPr>
          <w:rFonts w:ascii="Calibri" w:hAnsi="Calibri"/>
          <w:b/>
          <w:color w:val="0A0A0C"/>
          <w:sz w:val="48"/>
        </w:rPr>
        <w:t>De un modelo funcional a un</w:t>
        <w:br/>
        <w:t>dispositivo médico de referencia clínica</w:t>
      </w:r>
    </w:p>
    <w:p>
      <w:pPr>
        <w:spacing w:before="120" w:after="40"/>
        <w:jc w:val="center"/>
      </w:pPr>
      <w:r>
        <w:rPr>
          <w:rFonts w:ascii="Calibri" w:hAnsi="Calibri"/>
          <w:b w:val="0"/>
          <w:i w:val="0"/>
          <w:color w:val="4B5563"/>
          <w:sz w:val="26"/>
        </w:rPr>
        <w:t>Detección asistida por IA de caries dental (ICDAS II)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120" w:type="dxa"/>
              <w:start w:w="120" w:type="dxa"/>
              <w:bottom w:w="120" w:type="dxa"/>
              <w:end w:w="120" w:type="dxa"/>
            </w:tcMar>
            <w:shd w:val="clear" w:fill="F4F8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18EDE"/>
                <w:sz w:val="34"/>
              </w:rPr>
              <w:t>24 meses</w:t>
            </w:r>
          </w:p>
          <w:p>
            <w:pPr>
              <w:jc w:val="center"/>
            </w:pPr>
            <w:r>
              <w:rPr>
                <w:rFonts w:ascii="Calibri" w:hAnsi="Calibri"/>
                <w:color w:val="4B5563"/>
                <w:sz w:val="18"/>
              </w:rPr>
              <w:t>Horizonte del plan</w:t>
            </w:r>
          </w:p>
        </w:tc>
        <w:tc>
          <w:tcPr>
            <w:tcW w:type="dxa" w:w="3216"/>
            <w:tcMar>
              <w:top w:w="120" w:type="dxa"/>
              <w:start w:w="120" w:type="dxa"/>
              <w:bottom w:w="120" w:type="dxa"/>
              <w:end w:w="120" w:type="dxa"/>
            </w:tcMar>
            <w:shd w:val="clear" w:fill="F4F8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18EDE"/>
                <w:sz w:val="34"/>
              </w:rPr>
              <w:t>USD 2,4M</w:t>
            </w:r>
          </w:p>
          <w:p>
            <w:pPr>
              <w:jc w:val="center"/>
            </w:pPr>
            <w:r>
              <w:rPr>
                <w:rFonts w:ascii="Calibri" w:hAnsi="Calibri"/>
                <w:color w:val="4B5563"/>
                <w:sz w:val="18"/>
              </w:rPr>
              <w:t>Inversión estimada</w:t>
            </w:r>
          </w:p>
        </w:tc>
        <w:tc>
          <w:tcPr>
            <w:tcW w:type="dxa" w:w="3216"/>
            <w:tcMar>
              <w:top w:w="120" w:type="dxa"/>
              <w:start w:w="120" w:type="dxa"/>
              <w:bottom w:w="120" w:type="dxa"/>
              <w:end w:w="120" w:type="dxa"/>
            </w:tcMar>
            <w:shd w:val="clear" w:fill="F4F8FC"/>
          </w:tcPr>
          <w:p>
            <w:pPr>
              <w:jc w:val="center"/>
            </w:pPr>
            <w:r>
              <w:rPr>
                <w:rFonts w:ascii="Calibri" w:hAnsi="Calibri"/>
                <w:b/>
                <w:color w:val="018EDE"/>
                <w:sz w:val="34"/>
              </w:rPr>
              <w:t>Clase IIa</w:t>
            </w:r>
          </w:p>
          <w:p>
            <w:pPr>
              <w:jc w:val="center"/>
            </w:pPr>
            <w:r>
              <w:rPr>
                <w:rFonts w:ascii="Calibri" w:hAnsi="Calibri"/>
                <w:color w:val="4B5563"/>
                <w:sz w:val="18"/>
              </w:rPr>
              <w:t>Dispositivo médico (SaMD)</w:t>
            </w:r>
          </w:p>
        </w:tc>
      </w:tr>
    </w:tbl>
    <w:p/>
    <w:p/>
    <w:p/>
    <w:p/>
    <w:p/>
    <w:p/>
    <w:p>
      <w:pPr>
        <w:spacing w:before="0" w:after="20"/>
        <w:jc w:val="center"/>
      </w:pPr>
      <w:r>
        <w:rPr>
          <w:rFonts w:ascii="Calibri" w:hAnsi="Calibri"/>
          <w:b w:val="0"/>
          <w:i/>
          <w:color w:val="9CA3AF"/>
          <w:sz w:val="18"/>
        </w:rPr>
        <w:t>Documento confidencial preparado para el comité de inversión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9CA3AF"/>
          <w:sz w:val="18"/>
        </w:rPr>
        <w:t>DEXA Vision  ·  contacto@dexavision.cl  ·  Julio 2026</w:t>
      </w:r>
    </w:p>
    <w:p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1  </w:t>
      </w:r>
      <w:r>
        <w:rPr>
          <w:rFonts w:ascii="Calibri" w:hAnsi="Calibri"/>
          <w:b/>
          <w:color w:val="0A0A0C"/>
          <w:sz w:val="32"/>
        </w:rPr>
        <w:t>Resumen ejecutivo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DEXA opera hoy un pipeline funcional de detección de caries que entrega, en ~30 segundos, un diagnóstico ICDAS, un nivel de urgencia y una sugerencia de tratamiento a partir de fotografías intraorales. Es un MVP sólido que valida la demanda y la experiencia de usuario. Sin embargo, se apoya en modelos de lenguaje-visión de propósito general operando en modo zero/few-shot, sin calibración clínica ni datos propietarios.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La tesis de esta inversión es clara: el diferencial competitivo defendible no está en qué IA se usa —esos modelos son accesibles para cualquiera— sino en un dataset dental propietario, anotado por expertos y validado clínicamente, más la evidencia regulatoria que convierte un demo en un dispositivo médico vendible a escala. Ese activo no se copia.</w:t>
      </w:r>
    </w:p>
    <w:p>
      <w:pPr>
        <w:keepNext/>
        <w:spacing w:before="220" w:after="60"/>
      </w:pPr>
      <w:r>
        <w:rPr>
          <w:rFonts w:ascii="Calibri" w:hAnsi="Calibri"/>
          <w:b/>
          <w:color w:val="0175BC"/>
          <w:sz w:val="24"/>
        </w:rPr>
        <w:t>Los tres motores de valor de este plan</w:t>
      </w:r>
    </w:p>
    <w:p>
      <w:pPr>
        <w:pStyle w:val="ListBullet"/>
        <w:spacing w:after="60"/>
      </w:pPr>
      <w:r>
        <w:rPr>
          <w:rFonts w:ascii="Calibri" w:hAnsi="Calibri"/>
          <w:b/>
          <w:color w:val="0A0A0C"/>
          <w:sz w:val="21"/>
        </w:rPr>
        <w:t xml:space="preserve">Datos — </w:t>
      </w:r>
      <w:r>
        <w:rPr>
          <w:rFonts w:ascii="Calibri" w:hAnsi="Calibri"/>
          <w:color w:val="4B5563"/>
          <w:sz w:val="21"/>
        </w:rPr>
        <w:t>construir un dataset propietario con ground truth robusto (múltiples examinadores + correlación radiográfica). Es el foso.</w:t>
      </w:r>
    </w:p>
    <w:p>
      <w:pPr>
        <w:pStyle w:val="ListBullet"/>
        <w:spacing w:after="60"/>
      </w:pPr>
      <w:r>
        <w:rPr>
          <w:rFonts w:ascii="Calibri" w:hAnsi="Calibri"/>
          <w:b/>
          <w:color w:val="0A0A0C"/>
          <w:sz w:val="21"/>
        </w:rPr>
        <w:t xml:space="preserve">Modelos — </w:t>
      </w:r>
      <w:r>
        <w:rPr>
          <w:rFonts w:ascii="Calibri" w:hAnsi="Calibri"/>
          <w:color w:val="4B5563"/>
          <w:sz w:val="21"/>
        </w:rPr>
        <w:t>reemplazar los VLM generales por modelos especializados fine-tuneados sobre datos de DEXA, subiendo sensibilidad y especificidad de forma medible.</w:t>
      </w:r>
    </w:p>
    <w:p>
      <w:pPr>
        <w:pStyle w:val="ListBullet"/>
        <w:spacing w:after="60"/>
      </w:pPr>
      <w:r>
        <w:rPr>
          <w:rFonts w:ascii="Calibri" w:hAnsi="Calibri"/>
          <w:b/>
          <w:color w:val="0A0A0C"/>
          <w:sz w:val="21"/>
        </w:rPr>
        <w:t xml:space="preserve">Evidencia — </w:t>
      </w:r>
      <w:r>
        <w:rPr>
          <w:rFonts w:ascii="Calibri" w:hAnsi="Calibri"/>
          <w:color w:val="4B5563"/>
          <w:sz w:val="21"/>
        </w:rPr>
        <w:t>estudio prospectivo + ruta regulatoria (ISP/ANAMED, luego CE/FDA) que habilita la venta clínica y el escalamiento internacional.</w:t>
      </w:r>
    </w:p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2  </w:t>
      </w:r>
      <w:r>
        <w:rPr>
          <w:rFonts w:ascii="Calibri" w:hAnsi="Calibri"/>
          <w:b/>
          <w:color w:val="0A0A0C"/>
          <w:sz w:val="32"/>
        </w:rPr>
        <w:t>Estado actual del modelo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El pipeline productivo encadena cinco pasos orquestados en AWS (SQS → Step Functions), con almacenamiento cifrado en S3. Este es el punto de partida: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6" w:color="D5DAE0"/>
          <w:insideH w:val="single" w:sz="6" w:color="D5DA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2448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Modelo actual</w:t>
            </w:r>
          </w:p>
        </w:tc>
        <w:tc>
          <w:tcPr>
            <w:tcW w:type="dxa" w:w="2448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448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Evaluación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Paso 1 — Validación de imagen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8"/>
              </w:rPr>
              <w:t>Claude Haiku 4.5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Verifica que sean fotos dentales válidas.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F9D58"/>
                <w:sz w:val="18"/>
              </w:rPr>
              <w:t>Adecuado.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Paso 2 — Identificador de maxilar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8"/>
              </w:rPr>
              <w:t>Qwen3-VL 235B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Clasifica maxilar superior vs. mandíbula.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8"/>
              </w:rPr>
              <w:t>Sobredimensionado.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Paso 3 — Detección de dientes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8"/>
              </w:rPr>
              <w:t>YOLOv8n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Identifica y recorta cada diente.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8"/>
              </w:rPr>
              <w:t>Modelo 'nano', mejorable.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Paso 4 — Especialista en caries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8"/>
              </w:rPr>
              <w:t>Gemma 3 27B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Clasifica ICDAS II por diente.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8"/>
              </w:rPr>
              <w:t>Núcleo diagnóstico: no calibrado.</w:t>
            </w:r>
          </w:p>
        </w:tc>
      </w:tr>
      <w:tr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Paso 5 — Árbitro clínico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8"/>
              </w:rPr>
              <w:t>Claude Sonnet 4.5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Valida, consolida y genera el reporte en español.</w:t>
            </w:r>
          </w:p>
        </w:tc>
        <w:tc>
          <w:tcPr>
            <w:tcW w:type="dxa" w:w="244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F9D58"/>
                <w:sz w:val="18"/>
              </w:rPr>
              <w:t>Bien elegido.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sz w:val="21"/>
        </w:rPr>
      </w:r>
    </w:p>
    <w:p>
      <w:pPr>
        <w:keepNext/>
        <w:spacing w:before="220" w:after="60"/>
      </w:pPr>
      <w:r>
        <w:rPr>
          <w:rFonts w:ascii="Calibri" w:hAnsi="Calibri"/>
          <w:b/>
          <w:color w:val="92650A"/>
          <w:sz w:val="24"/>
        </w:rPr>
        <w:t>Limitación física que hay que enfrentar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fotografía intraoral no revela caries interproximal ni lesiones incipientes de esmalte: esa información no está en el pixel. Ningún modelo, por bueno que sea, la puede extraer. Superar este techo requiere una modalidad complementaria (radiografía bitewing, transiluminación NIR o fluorescencia) — abordado en la Fase 3.</w:t>
      </w:r>
    </w:p>
    <w:p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3  </w:t>
      </w:r>
      <w:r>
        <w:rPr>
          <w:rFonts w:ascii="Calibri" w:hAnsi="Calibri"/>
          <w:b/>
          <w:color w:val="0A0A0C"/>
          <w:sz w:val="32"/>
        </w:rPr>
        <w:t>Dónde está el retorno de la inversión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Priorizamos cada línea de gasto por su impacto en la precisión clínica y en la defensibilidad del negocio. Este es el orden de retorno: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6" w:color="D5DAE0"/>
          <w:insideH w:val="single" w:sz="6" w:color="D5DAE0"/>
          <w:insideV w:val="none"/>
        </w:tblBorders>
      </w:tblPr>
      <w:tblGrid>
        <w:gridCol w:w="3744"/>
        <w:gridCol w:w="1440"/>
        <w:gridCol w:w="4176"/>
      </w:tblGrid>
      <w:tr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Iniciativa</w:t>
            </w:r>
          </w:p>
        </w:tc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Por qué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Dataset propio + ground truth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8EDE"/>
                <w:sz w:val="18"/>
              </w:rPr>
              <w:t>Alto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Es el foso; nada lo sustituye.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Fine-tuning del clasificador ICDAS (Paso 4)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8EDE"/>
                <w:sz w:val="18"/>
              </w:rPr>
              <w:t>Alto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Es el corazón del diagnóstico.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Integrar radiografía / modalidad complementaria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8EDE"/>
                <w:sz w:val="18"/>
              </w:rPr>
              <w:t>Alto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Único salto físico real en sensibilidad.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Validación clínica + ruta regulatoria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B5F5"/>
                <w:sz w:val="18"/>
              </w:rPr>
              <w:t>Medio-Alto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Convierte precisión en producto vendible.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Reemplazar Qwen3-VL por clasificador ligero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B5F5"/>
                <w:sz w:val="18"/>
              </w:rPr>
              <w:t>Medio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Gran ahorro de costo y latencia.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Mejorar detección/segmentación (Paso 3)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B5F5"/>
                <w:sz w:val="18"/>
              </w:rPr>
              <w:t>Medio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Mejora todo lo aguas abajo.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0A0C"/>
                <w:sz w:val="18"/>
              </w:rPr>
              <w:t>Calibración e incertidumbre en el árbitro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AB5F5"/>
                <w:sz w:val="18"/>
              </w:rPr>
              <w:t>Medio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8"/>
              </w:rPr>
              <w:t>Seguridad clínica y escalado a humano.</w:t>
            </w:r>
          </w:p>
        </w:tc>
      </w:tr>
    </w:tbl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4  </w:t>
      </w:r>
      <w:r>
        <w:rPr>
          <w:rFonts w:ascii="Calibri" w:hAnsi="Calibri"/>
          <w:b/>
          <w:color w:val="0A0A0C"/>
          <w:sz w:val="32"/>
        </w:rPr>
        <w:t>Roadmap por fases (24 meses)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0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Fundaciones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0–2   ·   USD 180K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Poner los cimientos de datos, equipo y regulación antes de escalar.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Contratación núcleo: ML lead, ingeniero de datos, líder clínico y asesor regulatorio.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Pipeline de anotación (herramienta, protocolo ICDAS, guía de calibración de examinadores).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Gobierno de datos: trazabilidad, versionado de modelos y datasets, consentimiento y privacidad.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Kick-off regulatorio: gap analysis ISO 13485 / IEC 62304 y clasificación del dispositivo.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Infraestructura de datos operativa y equipo base contratado.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1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Dataset propietario y ground truth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2–8   ·   USD 620K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Construir el activo central: datos dentales anotados por expertos con verdad clínica robusta.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Anotación por ≥2–3 odontólogos calibrados; resolución de desacuerdos por consenso.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Medición de acuerdo inter-examinador (kappa) como techo de desempeño y evidencia regulatoria.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Correlación con radiografía bitewing en un subconjunto para ground truth fuerte.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Cobertura de la distribución real: dispositivos, iluminación, pigmentación, edades, calidad.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Active learning: el modelo actual prioriza qué etiquetar (casos inciertos) para maximizar valor.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Dataset v1 anotado y auditado; set de test bloqueado independiente.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2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Modelos especializados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6–12   ·   USD 540K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Reemplazar los VLM generales por modelos fine-tuneados sobre datos de DEXA.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Paso 4: fine-tuning de un backbone visual fuerte (features auto-supervisadas tipo DINOv3) o LoRA sobre un VLM, con cabeza ICDAS calibrada.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Pre-entrenamiento auto-supervisado sobre imágenes sin etiquetar de S3 antes del fine-tuning.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Paso 2: sustituir Qwen3-VL 235B por un clasificador ligero (&gt;99% en binario, milisegundos, fracción del costo).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Paso 3: subir de YOLOv8n a segmentación (SAM 2) con numeración dentaria FDI.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Paso 5: incorporar cuantificación de incertidumbre y escalamiento a revisión humana.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Sensibilidad/especificidad por clase ICDAS superando la línea base actual.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3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Multimodalidad radiográfica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10–16   ·   USD 420K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El único salto físico real en sensibilidad: ver lo que la foto no puede mostrar.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Integración y fusión de radiografía bitewing (mayor ganancia en caries proximal).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Evaluación de modalidades complementarias: transiluminación NIR y fluorescencia (QLF).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Modelo de fusión multimodal (foto + radiografía) con reporte unificado.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Comunicación explícita en el reporte de lo que cada modalidad no puede detectar.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Detección de caries proximal e incipiente antes fuera del alcance del sistema.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4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Validación clínica y regulatoria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14–20   ·   USD 380K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Convertir precisión medida en evidencia que habilita la venta clínica.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Estudio de validación prospectivo en población independiente vs. ground truth y vs. acuerdo humano.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Métricas por clase ICDAS con IC, AUC/ROC y curvas de calibración.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Análisis por subgrupos (calidad, dispositivo, pigmentación, edad) para detectar sesgos.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Dossier regulatorio y registro ante ISP/ANAMED (Chile); preparación de CE/FDA.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Evidencia clínica publicable y expediente regulatorio presentado.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6192"/>
        <w:gridCol w:w="3168"/>
      </w:tblGrid>
      <w:tr>
        <w:tc>
          <w:tcPr>
            <w:tcW w:type="dxa" w:w="4824"/>
            <w:shd w:val="clear" w:fill="018EDE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FASE 5</w:t>
            </w:r>
            <w:r>
              <w:rPr>
                <w:rFonts w:ascii="Calibri" w:hAnsi="Calibri"/>
                <w:b/>
                <w:color w:val="FFFFFF"/>
                <w:sz w:val="22"/>
              </w:rPr>
              <w:t xml:space="preserve">   Despliegue, monitoreo y escalamiento</w:t>
            </w:r>
          </w:p>
        </w:tc>
        <w:tc>
          <w:tcPr>
            <w:tcW w:type="dxa" w:w="4824"/>
            <w:shd w:val="clear" w:fill="0A0A0C"/>
            <w:tcMar>
              <w:top w:w="80" w:type="dxa"/>
              <w:start w:w="140" w:type="dxa"/>
              <w:bottom w:w="80" w:type="dxa"/>
              <w:end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AB5F5"/>
                <w:sz w:val="20"/>
              </w:rPr>
              <w:t>Meses 18–24   ·   USD 260K</w:t>
            </w:r>
          </w:p>
        </w:tc>
      </w:tr>
    </w:tbl>
    <w:p>
      <w:pPr>
        <w:spacing w:before="80" w:after="60"/>
      </w:pPr>
      <w:r>
        <w:rPr>
          <w:rFonts w:ascii="Calibri" w:hAnsi="Calibri"/>
          <w:b w:val="0"/>
          <w:i/>
          <w:color w:val="4B5563"/>
          <w:sz w:val="20"/>
        </w:rPr>
        <w:t>Operar con seguridad y preparar la expansión.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Monitoreo post-despliegue de deriva de datos y modelo (data/model drift).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Reentrenamiento continuo con nuevos datos etiquetados vía active learning.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Optimización de costo/latencia de inferencia a escala.</w:t>
      </w:r>
    </w:p>
    <w:p>
      <w:pPr>
        <w:pStyle w:val="ListBullet"/>
        <w:spacing w:after="60"/>
      </w:pPr>
      <w:r>
        <w:rPr>
          <w:rFonts w:ascii="Calibri" w:hAnsi="Calibri"/>
          <w:color w:val="333840"/>
          <w:sz w:val="21"/>
        </w:rPr>
        <w:t>Preparación de expansión internacional sobre la base regulatoria.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F4F8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 xml:space="preserve">Entregable clave:  </w:t>
            </w:r>
            <w:r>
              <w:rPr>
                <w:rFonts w:ascii="Calibri" w:hAnsi="Calibri"/>
                <w:color w:val="0A0A0C"/>
                <w:sz w:val="19"/>
              </w:rPr>
              <w:t>Sistema en producción monitoreado y ciclo de mejora continua operativo.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5  </w:t>
      </w:r>
      <w:r>
        <w:rPr>
          <w:rFonts w:ascii="Calibri" w:hAnsi="Calibri"/>
          <w:b/>
          <w:color w:val="0A0A0C"/>
          <w:sz w:val="32"/>
        </w:rPr>
        <w:t>Presupuesto consolidado (24 meses)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Cifras ilustrativas en USD, a refinar con la due diligence. La mayor parte se concentra en talento y en la anotación clínica: es donde se construye el activo defendible.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6" w:color="D5DAE0"/>
          <w:insideH w:val="single" w:sz="6" w:color="D5DAE0"/>
          <w:insideV w:val="none"/>
        </w:tblBorders>
      </w:tblPr>
      <w:tblGrid>
        <w:gridCol w:w="5760"/>
        <w:gridCol w:w="2160"/>
        <w:gridCol w:w="1440"/>
      </w:tblGrid>
      <w:tr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Línea presupuestaria</w:t>
            </w:r>
          </w:p>
        </w:tc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USD</w:t>
            </w:r>
          </w:p>
        </w:tc>
        <w:tc>
          <w:tcPr>
            <w:tcW w:type="dxa" w:w="3216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Equipo (ML, datos, clínico, regulatorio, producto)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1.050.000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44%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Anotación clínica (odontólogos + calibración)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430.000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18%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Cómputo y entrenamiento (GPU)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230.000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10%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Estudio de validación clínica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220.000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9%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Regulatorio y calidad (ISO 13485 / IEC 62304 / registro)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180.000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8%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Infraestructura cloud y MLOps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150.000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6%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0A0A0C"/>
                <w:sz w:val="19"/>
              </w:rPr>
              <w:t>Contingencia (~5%)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140.000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4B5563"/>
                <w:sz w:val="19"/>
              </w:rPr>
              <w:t>6%</w:t>
            </w:r>
          </w:p>
        </w:tc>
      </w:tr>
      <w:tr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  <w:shd w:val="clear" w:fill="F4F8FC"/>
          </w:tcPr>
          <w:p>
            <w:r>
              <w:rPr>
                <w:rFonts w:ascii="Calibri" w:hAnsi="Calibri"/>
                <w:b/>
                <w:color w:val="0A0A0C"/>
                <w:sz w:val="20"/>
              </w:rPr>
              <w:t>TOTAL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  <w:shd w:val="clear" w:fill="F4F8FC"/>
          </w:tcPr>
          <w:p>
            <w:pPr>
              <w:jc w:val="right"/>
            </w:pPr>
            <w:r>
              <w:rPr>
                <w:rFonts w:ascii="Calibri" w:hAnsi="Calibri"/>
                <w:b/>
                <w:color w:val="018EDE"/>
                <w:sz w:val="20"/>
              </w:rPr>
              <w:t>2.400.000</w:t>
            </w:r>
          </w:p>
        </w:tc>
        <w:tc>
          <w:tcPr>
            <w:tcW w:type="dxa" w:w="3216"/>
            <w:tcMar>
              <w:top w:w="60" w:type="dxa"/>
              <w:start w:w="100" w:type="dxa"/>
              <w:bottom w:w="60" w:type="dxa"/>
              <w:end w:w="100" w:type="dxa"/>
            </w:tcMar>
            <w:shd w:val="clear" w:fill="F4F8FC"/>
          </w:tcPr>
          <w:p>
            <w:pPr>
              <w:jc w:val="right"/>
            </w:pPr>
            <w:r>
              <w:rPr>
                <w:rFonts w:ascii="Calibri" w:hAnsi="Calibri"/>
                <w:b/>
                <w:color w:val="0A0A0C"/>
                <w:sz w:val="20"/>
              </w:rPr>
              <w:t>100%</w:t>
            </w:r>
          </w:p>
        </w:tc>
      </w:tr>
    </w:tbl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6  </w:t>
      </w:r>
      <w:r>
        <w:rPr>
          <w:rFonts w:ascii="Calibri" w:hAnsi="Calibri"/>
          <w:b/>
          <w:color w:val="0A0A0C"/>
          <w:sz w:val="32"/>
        </w:rPr>
        <w:t>Métricas de éxito (KPIs)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El plan se juzga por métricas que importan clínicamente, no por un único número global de accuracy.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6" w:color="D5DAE0"/>
          <w:insideH w:val="single" w:sz="6" w:color="D5DAE0"/>
          <w:insideV w:val="none"/>
        </w:tblBorders>
      </w:tblPr>
      <w:tblGrid>
        <w:gridCol w:w="3312"/>
        <w:gridCol w:w="6048"/>
      </w:tblGrid>
      <w:tr>
        <w:tc>
          <w:tcPr>
            <w:tcW w:type="dxa" w:w="4824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4824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Meta / definición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Sensibilidad por clase ICDAS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Reportada con IC 95% (foco en ICDAS 1–2, las lesiones difíciles).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Especificidad y tasa de falsos positivos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Controladas por subgrupo de imagen y dispositivo.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AUC / ROC y calibración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La probabilidad reportada debe coincidir con la frecuencia real.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Concordancia vs. examinadores humanos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Kappa del modelo comparable o superior al acuerdo inter-dentista.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Costo y latencia por caso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Reducción vs. línea base al reemplazar VLM generales.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0175BC"/>
                <w:sz w:val="19"/>
              </w:rPr>
              <w:t>Hito regulatorio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Registro ISP/ANAMED presentado y en trámite.</w:t>
            </w:r>
          </w:p>
        </w:tc>
      </w:tr>
    </w:tbl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7  </w:t>
      </w:r>
      <w:r>
        <w:rPr>
          <w:rFonts w:ascii="Calibri" w:hAnsi="Calibri"/>
          <w:b/>
          <w:color w:val="0A0A0C"/>
          <w:sz w:val="32"/>
        </w:rPr>
        <w:t>Riesgos y mitigación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6" w:color="D5DAE0"/>
          <w:insideH w:val="single" w:sz="6" w:color="D5DAE0"/>
          <w:insideV w:val="none"/>
        </w:tblBorders>
      </w:tblPr>
      <w:tblGrid>
        <w:gridCol w:w="3600"/>
        <w:gridCol w:w="5760"/>
      </w:tblGrid>
      <w:tr>
        <w:tc>
          <w:tcPr>
            <w:tcW w:type="dxa" w:w="4824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4824"/>
            <w:shd w:val="clear" w:fill="0A0A0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Calidad/volumen de datos insuficiente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Active learning + partnerships con clínicas para captación; protocolo de anotación estricto.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Techo físico de la fotografía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Fase 3 de multimodalidad; comunicar límites en el reporte.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Sesgo por subgrupos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Cobertura de distribución en datos + análisis de subgrupos obligatorio.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Demora regulatoria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Asesor regulatorio desde Fase 0; ISO 13485 / IEC 62304 en paralelo.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Deriva del modelo en producción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Monitoreo continuo y reentrenamiento programado (Fase 5).</w:t>
            </w:r>
          </w:p>
        </w:tc>
      </w:tr>
      <w:tr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92650A"/>
                <w:sz w:val="19"/>
              </w:rPr>
              <w:t>Costo de inferencia a escala</w:t>
            </w:r>
          </w:p>
        </w:tc>
        <w:tc>
          <w:tcPr>
            <w:tcW w:type="dxa" w:w="482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r>
              <w:rPr>
                <w:rFonts w:ascii="Calibri" w:hAnsi="Calibri"/>
                <w:color w:val="4B5563"/>
                <w:sz w:val="19"/>
              </w:rPr>
              <w:t>Reemplazo de VLM 235B por modelos ligeros fine-tuneados.</w:t>
            </w:r>
          </w:p>
        </w:tc>
      </w:tr>
    </w:tbl>
    <w:p>
      <w:pPr>
        <w:keepNext/>
        <w:spacing w:before="360" w:after="40"/>
      </w:pPr>
      <w:r>
        <w:rPr>
          <w:rFonts w:ascii="Calibri" w:hAnsi="Calibri"/>
          <w:b/>
          <w:color w:val="018EDE"/>
          <w:sz w:val="32"/>
        </w:rPr>
        <w:t xml:space="preserve">8  </w:t>
      </w:r>
      <w:r>
        <w:rPr>
          <w:rFonts w:ascii="Calibri" w:hAnsi="Calibri"/>
          <w:b/>
          <w:color w:val="0A0A0C"/>
          <w:sz w:val="32"/>
        </w:rPr>
        <w:t>Conclusión para el comité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right w:val="none"/>
          <w:bottom w:val="single" w:sz="14" w:color="018EDE"/>
          <w:insideH w:val="single" w:sz="14" w:color="018EDE"/>
          <w:insideV w:val="none"/>
        </w:tblBorders>
      </w:tblPr>
      <w:tblGrid>
        <w:gridCol w:w="9648"/>
      </w:tblGrid>
      <w:tr>
        <w:tc>
          <w:tcPr>
            <w:tcW w:type="dxa" w:w="9648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48"/>
      </w:tblGrid>
      <w:tr>
        <w:tc>
          <w:tcPr>
            <w:tcW w:type="dxa" w:w="9648"/>
            <w:shd w:val="clear" w:fill="0A0A0C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r>
              <w:rPr>
                <w:rFonts w:ascii="Calibri" w:hAnsi="Calibri"/>
                <w:i/>
                <w:color w:val="FFFFFF"/>
                <w:sz w:val="25"/>
              </w:rPr>
              <w:t>El diferencial no es qué IA usamos —eso es accesible para cualquiera—, sino el dataset dental propietario validado clínicamente y la evidencia regulatoria. Eso es lo que nadie puede copiar y lo que convierte un demo en un dispositivo médico.</w:t>
            </w:r>
          </w:p>
        </w:tc>
      </w:tr>
    </w:tbl>
    <w:p>
      <w:pPr>
        <w:spacing w:before="160" w:after="80"/>
      </w:pPr>
      <w:r>
        <w:rPr>
          <w:rFonts w:ascii="Calibri" w:hAnsi="Calibri"/>
          <w:b w:val="0"/>
          <w:i w:val="0"/>
          <w:sz w:val="21"/>
        </w:rPr>
        <w:t>Con esta inversión de USD 2,4M en 24 meses, DEXA pasa de un MVP validado a un producto con sensibilidad y especificidad demostradas, respaldo regulatorio y una barrera de entrada estructural frente a la competencia.</w:t>
      </w:r>
    </w:p>
    <w:p>
      <w:pPr>
        <w:spacing w:before="280" w:after="120"/>
        <w:jc w:val="center"/>
      </w:pPr>
      <w:r>
        <w:rPr>
          <w:rFonts w:ascii="Calibri" w:hAnsi="Calibri"/>
          <w:b w:val="0"/>
          <w:i w:val="0"/>
          <w:color w:val="9CA3AF"/>
          <w:sz w:val="17"/>
        </w:rPr>
        <w:t>DEXA Vision  ·  contacto@dexavision.cl  ·  Documento confidencial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