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fccfe95a38823a9da877b14c62dacccccf42a0f9.png"/>
            <a:graphic>
              <a:graphicData uri="http://schemas.openxmlformats.org/drawingml/2006/picture">
                <pic:pic>
                  <pic:nvPicPr>
                    <pic:cNvPr id="1" name="image-fccfe95a38823a9da877b14c62dacccccf42a0f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Driiva AI Models: Technical &amp; Business Strategy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(Pre-Seed – Revised Costs &amp; ARR)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Executive Summary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Driiva’s AI-powered insurance platform combines telematics-based risk scoring, multi-layer fraud detection, and community-driven incentives to deliver </w:t>
      </w:r>
      <w:r>
        <w:rPr>
          <w:rFonts w:eastAsia="inter" w:cs="inter" w:ascii="inter" w:hAnsi="inter"/>
          <w:b/>
          <w:color w:val="000000"/>
        </w:rPr>
        <w:t xml:space="preserve">15% premium refunds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92% fraud-detection accuracy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20% operational-cost reduction</w:t>
      </w:r>
      <w:r>
        <w:rPr>
          <w:rFonts w:eastAsia="inter" w:cs="inter" w:ascii="inter" w:hAnsi="inter"/>
          <w:color w:val="000000"/>
        </w:rPr>
        <w:t xml:space="preserve"> in Year 1.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Key value propositions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Customers:</w:t>
      </w:r>
      <w:r>
        <w:rPr>
          <w:rFonts w:eastAsia="inter" w:cs="inter" w:ascii="inter" w:hAnsi="inter"/>
          <w:color w:val="000000"/>
          <w:sz w:val="21"/>
        </w:rPr>
        <w:t xml:space="preserve"> Fair, usage-based pricing with refunds capped at 15%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Investors:</w:t>
      </w:r>
      <w:r>
        <w:rPr>
          <w:rFonts w:eastAsia="inter" w:cs="inter" w:ascii="inter" w:hAnsi="inter"/>
          <w:color w:val="000000"/>
          <w:sz w:val="21"/>
        </w:rPr>
        <w:t xml:space="preserve"> Capital-light SaaS &amp; insurance model projected to reach </w:t>
      </w:r>
      <w:r>
        <w:rPr>
          <w:rFonts w:eastAsia="inter" w:cs="inter" w:ascii="inter" w:hAnsi="inter"/>
          <w:b/>
          <w:color w:val="000000"/>
          <w:sz w:val="21"/>
        </w:rPr>
        <w:t xml:space="preserve">£800 K ARR at 8 000 policies</w:t>
      </w:r>
      <w:r>
        <w:rPr>
          <w:rFonts w:eastAsia="inter" w:cs="inter" w:ascii="inter" w:hAnsi="inter"/>
          <w:color w:val="000000"/>
          <w:sz w:val="21"/>
        </w:rPr>
        <w:t xml:space="preserve"> (24 -month target)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Regulators:</w:t>
      </w:r>
      <w:r>
        <w:rPr>
          <w:rFonts w:eastAsia="inter" w:cs="inter" w:ascii="inter" w:hAnsi="inter"/>
          <w:color w:val="000000"/>
          <w:sz w:val="21"/>
        </w:rPr>
        <w:t xml:space="preserve"> Fully FCA-compliant, explainable AI tooling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Telematics-Based Risk-Scoring System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Primary algorithm XGBoost on 50 + driving metrics → risk score 0–100 → refund 0–15%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Reinforcement learning A2C agent tunes refund floor weekly to protect loss ratio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Business impact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23% higher renewals vs static pricing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20% lower support load through automated risk communication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Fraud-Detection Engine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Three-layer architecture: rule filter → Isolation Forest → graph neural network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Key metric </w:t>
      </w:r>
      <w:r>
        <w:rPr>
          <w:rFonts w:eastAsia="inter" w:cs="inter" w:ascii="inter" w:hAnsi="inter"/>
          <w:b/>
          <w:color w:val="000000"/>
        </w:rPr>
        <w:t xml:space="preserve">92% detection accuracy</w:t>
      </w:r>
      <w:r>
        <w:rPr>
          <w:rFonts w:eastAsia="inter" w:cs="inter" w:ascii="inter" w:hAnsi="inter"/>
          <w:color w:val="000000"/>
        </w:rPr>
        <w:t xml:space="preserve"> with &lt; 5% false positives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Savings ≈ £150 K / 1 000 policies / year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Community Risk-Pooling Intelligence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Refund formula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Individual Refund = (PersonalScore × 0.8 + CommunityMultiplier × 0.2) × 15 %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Results observed in closed beta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35% higher daily app opens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12% fewer accidents among engaged cohorts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Surplus-Distribution Algorithm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Monthly surplus = Premiums – Claims – Ops Cost – Reserves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Cap 15% of annual premium / member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Reserve buffer 15% above actuarial minimum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Natural-Language Feedback System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Model TinyBERT (&lt; 100 ms latency) explains driving behaviours in plain English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Outcome 40% fewer “how is my score calculated?” tickets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Infrastructure, Subscriptions &amp; Cost Analysis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Tool / 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Annual Cost (£)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Model Training &amp; Tuning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AWS SageMaker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Spot instances, pre-emptible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Pipeline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Firebase + Kafka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Up to 10 M events / day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Graph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Neo4j Community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Single-node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NLP Inference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Google Cloud NLP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Pay-per-use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MLflow + Prometheus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Self-hosted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AI Research / Q&amp;A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Perplexity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1 200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 seats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HubSpot Starter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seats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Knowledge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Notion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 seats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Security / CDN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Cloudflare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domain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Dev Environment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Replit Teams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seats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Mobile Distribution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Apple Dev 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Annual fee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 Year-1 infra + subscriptions: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b/>
          <w:color w:val="000000"/>
        </w:rPr>
        <w:t xml:space="preserve">£6 299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Cost per policy (incl. infra + subs)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500 beta users ≈ £12.60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2 000 policies ≈ £3.15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8 000 policies ≈ £0.79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 Regulatory Compliance &amp; Risk Management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SHAP-based explainability for every pricing decision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Monthly performance monitoring; quarterly bias audits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GDPR: PII tokenisation, 30-day raw GPS retention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 Implementation Roadmap (Realistic Pre-Seed)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Target Policies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Major Deliverables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MVP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Months 1-6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500 beta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Core XGBoost scoring, rule-based fraud, TinyBERT UX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Beta Expansion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Months 7-12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 refund tuning, graph fraud layer, community pooling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Market Entry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Months 13-24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Edge optimisation, compliance automation, seed → Series A prep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 Financial Projections &amp; ROI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Average revenue per policy (ARP) </w:t>
      </w:r>
      <w:r>
        <w:rPr>
          <w:rFonts w:eastAsia="inter" w:cs="inter" w:ascii="inter" w:hAnsi="inter"/>
          <w:b/>
          <w:color w:val="000000"/>
        </w:rPr>
        <w:t xml:space="preserve">£100</w:t>
      </w:r>
      <w:r>
        <w:rPr>
          <w:rFonts w:eastAsia="inter" w:cs="inter" w:ascii="inter" w:hAnsi="inter"/>
          <w:color w:val="000000"/>
        </w:rPr>
        <w:t xml:space="preserve"> (commission share after claims pool)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Milestone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Policies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ARR (£)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Gross Margin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Cash Burn p.a. (£)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50 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150 K (dev + infra)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200 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250 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 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8 000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800 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400 K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Break-even projected at </w:t>
      </w:r>
      <w:r>
        <w:rPr>
          <w:rFonts w:eastAsia="inter" w:cs="inter" w:ascii="inter" w:hAnsi="inter"/>
          <w:b/>
          <w:color w:val="000000"/>
        </w:rPr>
        <w:t xml:space="preserve">≈ 5 000 policies</w:t>
      </w:r>
      <w:r>
        <w:rPr>
          <w:rFonts w:eastAsia="inter" w:cs="inter" w:ascii="inter" w:hAnsi="inter"/>
          <w:color w:val="000000"/>
        </w:rPr>
        <w:t xml:space="preserve"> (Month 18) assuming steady 60% gross margin and £300 K blended OPEX.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Funding needs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Pre-seed round £150 K – £300 K → 12-18 mo runway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Seed round (Month 12) £1.0 M → accelerate to 25 000 policies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10. Next Steps (90 Days)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Finalise BERT integration and launch 500-user closed beta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Instrument full SHAP explainability for FCA sandbox submission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pre-seed raise (target £250 K)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 CRM (HubSpot) and knowledge base (Notion) for scale readiness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This revised document reflects conservative, evidence-based targets, incorporates all recurring subscription costs, and aligns ARR with expected policy volumes for a pre-seed insurtech venture.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ccfe95a38823a9da877b14c62dacccccf42a0f9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2025-07-26T10:59:36.647Z</dcterms:created>
  <dcterms:modified xsi:type="dcterms:W3CDTF">2025-07-26T10:59:36.647Z</dcterms:modified>
</cp:coreProperties>
</file>