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CS4-2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202612022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25 - DATA STRUCTURES AND ALGORITHMS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Lecture Sheet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/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Complete the information in the upper portion. Notice that there are some cells that are drop-down list.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Encode or copy the names of students and their student numbers.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Only raw scores and number of items shall be encoded. The rest of the cells are locked and cannot be modified.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After Midterm, do not enter/modify anything in the Midterm tab.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Laboratory Sheet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/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The information encoded on the Lecture Sheet are automatically generated.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Only raw scores and number of items shall be encoded. The rest of the cells are locked and cannot be modified.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After midterm, do not enter/modify anything in the Midterm tab.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Consolidated Sheet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/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Midterm and final grade can be viewed on this sheet.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 modification / changes can be made on this sheet.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Grading Sheet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/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The information encoded on the Lecture Sheet are automatically generated.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Final grade and remarks can be modified.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Excess rows can be deleted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Name of signatories, designations and date must be encoded.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Summary of distribution are automatically generated. Do not forget to delete the excess rows in the upper table of the grading sheet.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