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shd w:val="clear" w:color="FFFFFF" w:fill="auto"/>
        <w:spacing w:before="0" w:after="0" w:line="240" w:lineRule="auto"/>
        <w:rPr>
          <w:color w:val="000000"/>
        </w:rPr>
      </w:pPr>
      <w:bookmarkStart w:id="0" w:name="SectionMark4"/>
    </w:p>
    <w:p>
      <w:pPr>
        <w:pStyle w:val="16"/>
        <w:ind w:firstLine="420"/>
        <w:rPr>
          <w:color w:val="000000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48"/>
          <w:szCs w:val="48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48"/>
          <w:szCs w:val="48"/>
        </w:rPr>
      </w:pPr>
      <w:r>
        <w:rPr>
          <w:rFonts w:hint="eastAsia" w:ascii="华文楷体" w:hAnsi="华文楷体" w:eastAsia="华文楷体"/>
          <w:b/>
          <w:bCs/>
          <w:sz w:val="48"/>
          <w:szCs w:val="48"/>
        </w:rPr>
        <w:t>供应商</w:t>
      </w:r>
      <w:r>
        <w:rPr>
          <w:rFonts w:hint="eastAsia" w:ascii="华文楷体" w:hAnsi="华文楷体" w:eastAsia="华文楷体"/>
          <w:b/>
          <w:bCs/>
          <w:sz w:val="48"/>
          <w:szCs w:val="48"/>
          <w:lang w:val="en-US" w:eastAsia="zh-CN"/>
        </w:rPr>
        <w:t>分类</w:t>
      </w:r>
      <w:r>
        <w:rPr>
          <w:rFonts w:hint="eastAsia" w:ascii="华文楷体" w:hAnsi="华文楷体" w:eastAsia="华文楷体"/>
          <w:b/>
          <w:bCs/>
          <w:sz w:val="48"/>
          <w:szCs w:val="48"/>
        </w:rPr>
        <w:t>管理办法</w:t>
      </w: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版本： 202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A</w:t>
      </w: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</w:rPr>
      </w:pPr>
    </w:p>
    <w:p>
      <w:pPr>
        <w:pStyle w:val="38"/>
        <w:snapToGrid w:val="0"/>
        <w:spacing w:line="360" w:lineRule="auto"/>
        <w:jc w:val="center"/>
        <w:textAlignment w:val="auto"/>
        <w:rPr>
          <w:rFonts w:ascii="华文楷体" w:hAnsi="华文楷体" w:eastAsia="华文楷体"/>
          <w:snapToGrid w:val="0"/>
          <w:kern w:val="0"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napToGrid w:val="0"/>
          <w:kern w:val="0"/>
          <w:sz w:val="32"/>
          <w:szCs w:val="32"/>
        </w:rPr>
        <w:t>湖南中联重科新材料科技有限公司</w:t>
      </w:r>
    </w:p>
    <w:p>
      <w:pPr>
        <w:adjustRightInd w:val="0"/>
        <w:snapToGrid w:val="0"/>
        <w:spacing w:line="360" w:lineRule="auto"/>
        <w:rPr>
          <w:snapToGrid w:val="0"/>
          <w:kern w:val="0"/>
        </w:rPr>
      </w:pPr>
      <w:r>
        <w:rPr>
          <w:b/>
          <w:b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81915</wp:posOffset>
                </wp:positionV>
                <wp:extent cx="5868035" cy="0"/>
                <wp:effectExtent l="10160" t="10795" r="8255" b="8255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4.6pt;margin-top:6.45pt;height:0pt;width:462.05pt;z-index:251659264;mso-width-relative:page;mso-height-relative:page;" filled="f" stroked="t" coordsize="21600,21600" o:gfxdata="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hxybdIAAAAHAQAADwAAAAAAAAAB&#10;ACAAAAAiAAAAZHJzL2Rvd25yZXYueG1sUEsBAhQAFAAAAAgAh07iQHAkPjXdAQAArAMAAA4AAAAA&#10;AAAAAQAgAAAAI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华文楷体" w:hAnsi="华文楷体" w:eastAsia="华文楷体" w:cs="华文楷体"/>
          <w:bCs/>
          <w:snapToGrid w:val="0"/>
          <w:kern w:val="0"/>
          <w:sz w:val="28"/>
          <w:szCs w:val="28"/>
        </w:rPr>
        <w:sectPr>
          <w:pgSz w:w="11906" w:h="16838"/>
          <w:pgMar w:top="1361" w:right="1304" w:bottom="1361" w:left="1304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>202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>-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>-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>19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 xml:space="preserve">首次发布         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 xml:space="preserve">               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 xml:space="preserve">     202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>-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>-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lang w:val="en-US" w:eastAsia="zh-CN"/>
        </w:rPr>
        <w:t>19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</w:rPr>
        <w:t>实施</w:t>
      </w:r>
    </w:p>
    <w:p>
      <w:pPr>
        <w:pStyle w:val="2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黑体" w:hAnsi="宋体" w:eastAsia="黑体"/>
          <w:b/>
          <w:kern w:val="2"/>
          <w:sz w:val="21"/>
          <w:szCs w:val="21"/>
        </w:rPr>
        <w:t>文件（流程）名称：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>供应商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分类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>管理办法</w:t>
      </w:r>
    </w:p>
    <w:p>
      <w:pPr>
        <w:pStyle w:val="2"/>
        <w:spacing w:line="360" w:lineRule="auto"/>
        <w:rPr>
          <w:rFonts w:hint="default" w:ascii="宋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b/>
          <w:kern w:val="2"/>
          <w:sz w:val="21"/>
          <w:szCs w:val="21"/>
        </w:rPr>
        <w:t>文件（流程）管理责任部门：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供应链管理部门</w:t>
      </w:r>
    </w:p>
    <w:p>
      <w:pPr>
        <w:pStyle w:val="2"/>
        <w:spacing w:line="360" w:lineRule="auto"/>
        <w:rPr>
          <w:rFonts w:ascii="宋体" w:hAnsi="宋体" w:cs="宋体"/>
          <w:sz w:val="21"/>
          <w:szCs w:val="21"/>
          <w:lang w:val="zh-CN"/>
        </w:rPr>
      </w:pPr>
      <w:r>
        <w:rPr>
          <w:rFonts w:hint="eastAsia" w:ascii="黑体" w:hAnsi="宋体" w:eastAsia="黑体"/>
          <w:b/>
          <w:kern w:val="2"/>
          <w:sz w:val="21"/>
          <w:szCs w:val="21"/>
        </w:rPr>
        <w:t>文件（流程）管理责任人：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肖文杰</w:t>
      </w:r>
    </w:p>
    <w:p>
      <w:pPr>
        <w:spacing w:line="360" w:lineRule="auto"/>
        <w:outlineLvl w:val="0"/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文件（流程）签署：</w:t>
      </w:r>
      <w:r>
        <w:rPr>
          <w:rFonts w:hint="eastAsia" w:ascii="宋体" w:hAnsi="宋体"/>
          <w:kern w:val="0"/>
          <w:szCs w:val="21"/>
        </w:rPr>
        <w:t>下表</w:t>
      </w:r>
    </w:p>
    <w:p>
      <w:pPr>
        <w:spacing w:before="120" w:beforeLines="50" w:after="120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本管理办法已得到以下部门负责人（或项目组成员）会签。</w:t>
      </w:r>
    </w:p>
    <w:tbl>
      <w:tblPr>
        <w:tblStyle w:val="9"/>
        <w:tblW w:w="917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026"/>
        <w:gridCol w:w="2488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部  门</w:t>
            </w:r>
          </w:p>
        </w:tc>
        <w:tc>
          <w:tcPr>
            <w:tcW w:w="2026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岗  位</w:t>
            </w:r>
          </w:p>
        </w:tc>
        <w:tc>
          <w:tcPr>
            <w:tcW w:w="2488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流程会签人名单</w:t>
            </w:r>
          </w:p>
        </w:tc>
        <w:tc>
          <w:tcPr>
            <w:tcW w:w="2120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  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董事长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陈培亮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杨健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总经理助理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曹熙元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总经理助理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江丽英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材料研究院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院长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郭嘉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设备公司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赵宗智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公司</w:t>
            </w:r>
          </w:p>
        </w:tc>
        <w:tc>
          <w:tcPr>
            <w:tcW w:w="20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刘蛟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工程应用及培训中心</w:t>
            </w:r>
          </w:p>
        </w:tc>
        <w:tc>
          <w:tcPr>
            <w:tcW w:w="2026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陈元涛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材料公司</w:t>
            </w:r>
          </w:p>
        </w:tc>
        <w:tc>
          <w:tcPr>
            <w:tcW w:w="202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刘毅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营运管理部</w:t>
            </w:r>
          </w:p>
        </w:tc>
        <w:tc>
          <w:tcPr>
            <w:tcW w:w="20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罗雁冰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供应链管理部</w:t>
            </w:r>
          </w:p>
        </w:tc>
        <w:tc>
          <w:tcPr>
            <w:tcW w:w="202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张鹏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供应链管理部</w:t>
            </w:r>
          </w:p>
        </w:tc>
        <w:tc>
          <w:tcPr>
            <w:tcW w:w="20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潘小平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财务部</w:t>
            </w:r>
          </w:p>
        </w:tc>
        <w:tc>
          <w:tcPr>
            <w:tcW w:w="2026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罗伟红</w:t>
            </w:r>
          </w:p>
        </w:tc>
        <w:tc>
          <w:tcPr>
            <w:tcW w:w="21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16"/>
        <w:ind w:firstLine="420"/>
        <w:rPr>
          <w:color w:val="00000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spacing w:line="360" w:lineRule="auto"/>
        <w:outlineLvl w:val="0"/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文件（流程）修订说明：</w:t>
      </w:r>
    </w:p>
    <w:tbl>
      <w:tblPr>
        <w:tblStyle w:val="9"/>
        <w:tblW w:w="9204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308"/>
        <w:gridCol w:w="2040"/>
        <w:gridCol w:w="4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 本</w:t>
            </w:r>
          </w:p>
        </w:tc>
        <w:tc>
          <w:tcPr>
            <w:tcW w:w="1308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作  者</w:t>
            </w:r>
          </w:p>
        </w:tc>
        <w:tc>
          <w:tcPr>
            <w:tcW w:w="2040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  期</w:t>
            </w:r>
          </w:p>
        </w:tc>
        <w:tc>
          <w:tcPr>
            <w:tcW w:w="4608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更改内容描述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2022A</w:t>
            </w:r>
          </w:p>
        </w:tc>
        <w:tc>
          <w:tcPr>
            <w:tcW w:w="13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肖文杰</w:t>
            </w:r>
          </w:p>
        </w:tc>
        <w:tc>
          <w:tcPr>
            <w:tcW w:w="204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2022-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  <w:tc>
          <w:tcPr>
            <w:tcW w:w="46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4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tabs>
          <w:tab w:val="left" w:pos="938"/>
        </w:tabs>
        <w:jc w:val="left"/>
        <w:rPr>
          <w:szCs w:val="21"/>
        </w:rPr>
        <w:sectPr>
          <w:headerReference r:id="rId3" w:type="default"/>
          <w:footerReference r:id="rId4" w:type="default"/>
          <w:pgSz w:w="11906" w:h="16838"/>
          <w:pgMar w:top="1361" w:right="1361" w:bottom="1361" w:left="1361" w:header="1134" w:footer="851" w:gutter="0"/>
          <w:cols w:space="720" w:num="1"/>
          <w:docGrid w:linePitch="312" w:charSpace="0"/>
        </w:sectPr>
      </w:pPr>
    </w:p>
    <w:p>
      <w:pPr>
        <w:pStyle w:val="28"/>
        <w:shd w:val="clear" w:color="FFFFFF" w:fill="auto"/>
        <w:spacing w:before="0" w:after="0" w:line="440" w:lineRule="exact"/>
        <w:rPr>
          <w:b/>
          <w:color w:val="000000"/>
        </w:rPr>
      </w:pPr>
      <w:r>
        <w:rPr>
          <w:rFonts w:hint="eastAsia" w:hAnsi="宋体"/>
          <w:b/>
          <w:color w:val="000000"/>
          <w:szCs w:val="21"/>
          <w:lang w:val="en-US" w:eastAsia="zh-CN"/>
        </w:rPr>
        <w:t>供应商分类</w:t>
      </w:r>
      <w:r>
        <w:rPr>
          <w:rFonts w:hint="eastAsia" w:hAnsi="宋体"/>
          <w:b/>
          <w:color w:val="000000"/>
          <w:szCs w:val="21"/>
        </w:rPr>
        <w:t>管理</w:t>
      </w:r>
      <w:r>
        <w:rPr>
          <w:rFonts w:hint="eastAsia" w:hAnsi="宋体"/>
          <w:b/>
          <w:color w:val="000000"/>
          <w:szCs w:val="21"/>
          <w:lang w:val="en-US" w:eastAsia="zh-CN"/>
        </w:rPr>
        <w:t>办法</w:t>
      </w:r>
    </w:p>
    <w:p>
      <w:pPr>
        <w:pStyle w:val="16"/>
        <w:ind w:left="0" w:leftChars="0" w:firstLine="0" w:firstLineChars="0"/>
      </w:pPr>
    </w:p>
    <w:p>
      <w:pPr>
        <w:jc w:val="center"/>
        <w:rPr>
          <w:rFonts w:ascii="宋体" w:hAnsi="宋体"/>
          <w:color w:val="000000"/>
        </w:rPr>
      </w:pP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</w:rPr>
      </w:pPr>
      <w:r>
        <w:rPr>
          <w:rFonts w:hint="eastAsia" w:ascii="黑体" w:eastAsia="黑体"/>
          <w:b/>
          <w:bCs/>
          <w:color w:val="000000"/>
          <w:szCs w:val="21"/>
        </w:rPr>
        <w:t>目的</w:t>
      </w:r>
    </w:p>
    <w:p>
      <w:pPr>
        <w:spacing w:line="360" w:lineRule="auto"/>
        <w:rPr>
          <w:rFonts w:hint="eastAsia" w:ascii="宋体" w:hAnsi="宋体"/>
          <w:bCs/>
          <w:i w:val="0"/>
          <w:iCs w:val="0"/>
          <w:color w:val="000000"/>
          <w:szCs w:val="21"/>
        </w:rPr>
      </w:pPr>
      <w:r>
        <w:rPr>
          <w:rFonts w:hint="eastAsia"/>
          <w:bCs/>
          <w:i/>
          <w:iCs/>
          <w:color w:val="000000"/>
          <w:szCs w:val="21"/>
        </w:rPr>
        <w:t xml:space="preserve"> </w:t>
      </w:r>
      <w:r>
        <w:rPr>
          <w:rFonts w:hint="eastAsia"/>
          <w:bCs/>
          <w:i w:val="0"/>
          <w:iCs w:val="0"/>
          <w:color w:val="000000"/>
          <w:szCs w:val="21"/>
        </w:rPr>
        <w:t xml:space="preserve">  </w:t>
      </w:r>
      <w:r>
        <w:rPr>
          <w:rFonts w:hint="eastAsia" w:ascii="宋体" w:hAnsi="宋体"/>
          <w:bCs/>
          <w:i w:val="0"/>
          <w:iCs w:val="0"/>
          <w:color w:val="000000"/>
          <w:szCs w:val="21"/>
        </w:rPr>
        <w:t xml:space="preserve"> 为规范湖南中联重科新材料科技有限公司（以下简称“公司”）的</w:t>
      </w:r>
      <w:r>
        <w:rPr>
          <w:rFonts w:hint="eastAsia" w:ascii="宋体" w:hAnsi="宋体"/>
          <w:bCs/>
          <w:i w:val="0"/>
          <w:iCs w:val="0"/>
          <w:color w:val="000000"/>
          <w:szCs w:val="21"/>
          <w:lang w:val="en-US" w:eastAsia="zh-CN"/>
        </w:rPr>
        <w:t>生产性物资供应商分类管理</w:t>
      </w:r>
      <w:r>
        <w:rPr>
          <w:rFonts w:hint="eastAsia" w:ascii="宋体" w:hAnsi="宋体"/>
          <w:bCs/>
          <w:i w:val="0"/>
          <w:iCs w:val="0"/>
          <w:color w:val="000000"/>
          <w:szCs w:val="21"/>
        </w:rPr>
        <w:t>，</w:t>
      </w:r>
      <w:r>
        <w:rPr>
          <w:rFonts w:hint="eastAsia" w:ascii="宋体" w:hAnsi="宋体"/>
          <w:bCs/>
          <w:i w:val="0"/>
          <w:iCs w:val="0"/>
          <w:color w:val="000000"/>
          <w:szCs w:val="21"/>
          <w:lang w:val="en-US" w:eastAsia="zh-CN"/>
        </w:rPr>
        <w:t>优化供应商</w:t>
      </w:r>
      <w:r>
        <w:rPr>
          <w:rFonts w:hint="eastAsia" w:ascii="宋体" w:hAnsi="宋体"/>
          <w:bCs/>
          <w:i w:val="0"/>
          <w:iCs w:val="0"/>
          <w:color w:val="000000"/>
          <w:szCs w:val="21"/>
        </w:rPr>
        <w:t>体系，</w:t>
      </w:r>
      <w:r>
        <w:rPr>
          <w:rFonts w:hint="eastAsia" w:ascii="宋体" w:hAnsi="宋体"/>
          <w:bCs/>
          <w:i w:val="0"/>
          <w:iCs w:val="0"/>
          <w:color w:val="000000"/>
          <w:szCs w:val="21"/>
          <w:lang w:val="en-US" w:eastAsia="zh-CN"/>
        </w:rPr>
        <w:t>深化供应商管理，</w:t>
      </w:r>
      <w:r>
        <w:rPr>
          <w:rFonts w:hint="eastAsia" w:ascii="宋体" w:hAnsi="宋体"/>
          <w:bCs/>
          <w:i w:val="0"/>
          <w:iCs w:val="0"/>
          <w:color w:val="000000"/>
          <w:szCs w:val="21"/>
        </w:rPr>
        <w:t>明确供应链管理部</w:t>
      </w:r>
      <w:r>
        <w:rPr>
          <w:rFonts w:hint="eastAsia" w:ascii="宋体" w:hAnsi="宋体"/>
          <w:bCs/>
          <w:i w:val="0"/>
          <w:iCs w:val="0"/>
          <w:color w:val="000000"/>
          <w:szCs w:val="21"/>
          <w:lang w:val="en-US" w:eastAsia="zh-CN"/>
        </w:rPr>
        <w:t>门</w:t>
      </w:r>
      <w:r>
        <w:rPr>
          <w:rFonts w:hint="eastAsia" w:ascii="宋体" w:hAnsi="宋体"/>
          <w:bCs/>
          <w:i w:val="0"/>
          <w:iCs w:val="0"/>
          <w:color w:val="000000"/>
          <w:szCs w:val="21"/>
        </w:rPr>
        <w:t xml:space="preserve">、采购执行部门以及其他相关部门的职责，特制订本程序。 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</w:rPr>
      </w:pPr>
      <w:r>
        <w:rPr>
          <w:rFonts w:hint="eastAsia" w:ascii="黑体" w:eastAsia="黑体"/>
          <w:b/>
          <w:bCs/>
          <w:color w:val="000000"/>
          <w:szCs w:val="21"/>
        </w:rPr>
        <w:t>范围</w:t>
      </w:r>
    </w:p>
    <w:p>
      <w:pPr>
        <w:spacing w:line="360" w:lineRule="auto"/>
        <w:ind w:left="422" w:hanging="422" w:hangingChars="200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i/>
          <w:iCs/>
          <w:color w:val="000000"/>
          <w:szCs w:val="21"/>
        </w:rPr>
        <w:t xml:space="preserve"> </w:t>
      </w:r>
      <w:r>
        <w:rPr>
          <w:rFonts w:hint="eastAsia"/>
          <w:bCs/>
          <w:i/>
          <w:iCs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 xml:space="preserve"> 本规定适用于公司及其控股子公司</w:t>
      </w:r>
      <w:r>
        <w:rPr>
          <w:rFonts w:hint="eastAsia" w:ascii="宋体" w:hAnsi="宋体"/>
          <w:color w:val="000000"/>
          <w:szCs w:val="21"/>
          <w:lang w:val="en-US" w:eastAsia="zh-CN"/>
        </w:rPr>
        <w:t>生产性物资供应商的分类管理</w:t>
      </w:r>
      <w:r>
        <w:rPr>
          <w:rFonts w:hint="eastAsia" w:ascii="宋体" w:hAnsi="宋体"/>
          <w:color w:val="000000"/>
          <w:szCs w:val="21"/>
        </w:rPr>
        <w:t xml:space="preserve">。 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</w:rPr>
      </w:pPr>
      <w:r>
        <w:rPr>
          <w:rFonts w:hint="eastAsia" w:ascii="黑体" w:eastAsia="黑体"/>
          <w:b/>
          <w:bCs/>
          <w:color w:val="000000"/>
          <w:szCs w:val="21"/>
        </w:rPr>
        <w:t xml:space="preserve"> 定义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生产性物资：指公司生产产品和提供劳务的过程中所消耗的、直接用于产品生产、构成产品实体的各种原材料、外购半成品以及有助于产品形成的包装材料。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工厂：公司控股的砂浆生产工厂。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采购执行部门：各工厂的采购部门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及设备采购中心</w:t>
      </w:r>
      <w:r>
        <w:rPr>
          <w:rFonts w:hint="eastAsia" w:ascii="宋体" w:hAnsi="宋体" w:cs="宋体"/>
          <w:color w:val="000000"/>
          <w:szCs w:val="21"/>
        </w:rPr>
        <w:t>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</w:rPr>
        <w:t>职责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  <w:lang w:val="en-US" w:eastAsia="zh-CN"/>
        </w:rPr>
        <w:t>供应链管理部门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  <w:lang w:val="en-US" w:eastAsia="zh-CN"/>
        </w:rPr>
        <w:t>负责发布、维护、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修订及解释本办法。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负责供应商分类管理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。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 xml:space="preserve"> 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负责制定供应商分类规则。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负责供应商的配额管理。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负责临时供应商的申请。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负责供应商分类的应用。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负责更新与发布《合格供应商名录》。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负责本规定以及相关程序文件的编制、更新与监督执行。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  <w:lang w:val="en-US" w:eastAsia="zh-CN"/>
        </w:rPr>
        <w:t>技术部门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负责指定供应商的申请。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  <w:lang w:val="en-US" w:eastAsia="zh-CN"/>
        </w:rPr>
        <w:t>采购执行部门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根据供应链管理部门的供应商分类管理规则，进行对应供应商管理事宜。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  <w:lang w:val="en-US" w:eastAsia="zh-CN"/>
        </w:rPr>
        <w:t>供应商分类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按关系分类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包含合格供应商、潜在供应商、临时供应商、指定供应商、淘汰供应商。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合格供应商是已通过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准入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评审的供应商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潜在供应商是当前并不具备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供应商准入的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条件，但拥有独特优势或成为合格供应商的潜质的供应商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。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潜在供应商不列入《合格供应商名录》中。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临时供应商是为解决当时特殊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物料或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服务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或目标产品没有合格供应商时，应急开发的供应商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临时供应商由采购执行部门根据具体需求申请</w:t>
      </w:r>
      <w:r>
        <w:rPr>
          <w:rFonts w:hint="eastAsia" w:ascii="宋体" w:hAnsi="宋体" w:cs="宋体"/>
          <w:b w:val="0"/>
          <w:bCs w:val="0"/>
          <w:color w:val="000000"/>
          <w:szCs w:val="21"/>
          <w:highlight w:val="none"/>
          <w:lang w:val="en-US" w:eastAsia="zh-CN"/>
        </w:rPr>
        <w:t>，填写《临时供应商申请表》，由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部门领导审批同意后使用。若临时供应商的拟供物资总金额超过50万元，则需由董事长审批同意后才能使用。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临时供应商只能针对申请范围的特殊物料或服务使用，不得泛用于其他产品或服务。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临时供应商的存在期限应与其申请使用期限一致，一旦其物料或服务的使用期限结束，此供应商即停止使用。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若同种物料或服务在一年内使用超过3次，应考虑将此物料或服务纳入合格供应商的服务范围内，不可再以临时供应商方式合作。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采购执行部门应对临时供应商建立有效的台账，及时更新，保证临时供应商的合理使用。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指定供应商是为满足某些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特定物料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需求，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在较长时间内没有可替代的物料或厂家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，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而特定的唯一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供应商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。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指定供应商也属于合格供应商，应遵循合格供应商的准入原则，详见《供应商准入管理办法》。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指定供应商由技术部门提出书面申请</w:t>
      </w:r>
      <w:r>
        <w:rPr>
          <w:rFonts w:hint="eastAsia" w:ascii="宋体" w:hAnsi="宋体" w:cs="宋体"/>
          <w:b w:val="0"/>
          <w:bCs w:val="0"/>
          <w:color w:val="000000"/>
          <w:szCs w:val="21"/>
          <w:highlight w:val="none"/>
          <w:lang w:val="en-US" w:eastAsia="zh-CN"/>
        </w:rPr>
        <w:t>，由部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门领导及分管领导审批同意后，交供应链管理部门归档。若技术部门指定供应商没有正式的书面批示文件，供应链管理部门有权对目标物料推荐其他合格供应商进行合作。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应尽量减少指定供应商，责任部门需对针对性制定供应商开发计划，优化供应商结构，降低供应风险。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对于某物料现阶段只有一家合格供应商但未申请指定供应商的，原则上，应在一个季度内完成此物料的新供应商开发。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淘汰供应商是因质量、成本、交付、绩效等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因素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不符合企业要求</w:t>
      </w:r>
      <w:r>
        <w:rPr>
          <w:rFonts w:hint="eastAsia" w:ascii="宋体" w:hAnsi="宋体" w:cs="宋体"/>
          <w:b w:val="0"/>
          <w:bCs w:val="0"/>
          <w:color w:val="000000"/>
          <w:szCs w:val="21"/>
          <w:lang w:eastAsia="zh-CN"/>
        </w:rPr>
        <w:t>，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不再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进行合作的供应商。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供应链管理部门根据年度绩效考核结果，筛选整理，发起供应商退出流程，经领导审批通过后的供应商即为淘汰供应商。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淘汰供应商应按退出要求，暂停合作和货款，详见《供应商退出管理办法》。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bookmarkStart w:id="1" w:name="_Toc77949814"/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按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物资属性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分类</w:t>
      </w:r>
      <w:bookmarkEnd w:id="1"/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  <w:lang w:val="en-US" w:eastAsia="zh-CN"/>
        </w:rPr>
        <w:t>包含</w:t>
      </w: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战略供应商、瓶颈供应商、杠杆供应商、交易供应商、一般供应商。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物资属性关系分类基于物资分类而定，具体的物资分类规则如下：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2407"/>
        <w:gridCol w:w="2895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44" w:type="dxa"/>
            <w:shd w:val="clear" w:color="auto" w:fill="auto"/>
            <w:noWrap w:val="0"/>
            <w:vAlign w:val="top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2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40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2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战略物资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2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重要物资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211" w:firstLineChars="100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一般物资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分类定义</w:t>
            </w:r>
          </w:p>
        </w:tc>
        <w:tc>
          <w:tcPr>
            <w:tcW w:w="2407" w:type="dxa"/>
            <w:shd w:val="clear" w:color="auto" w:fill="auto"/>
            <w:noWrap w:val="0"/>
            <w:vAlign w:val="top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核心零部件、原材料，品牌价值关注度高，属垄断与半垄断地位，产品同质化程度低，市场竞争不充分或属大宗型材料储备物资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主要功能性重要部件、原材料，产品结构复杂，但市场竞争充分，可替换性程度高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辅助性，通用性物资，无技术壁垒和品控风险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更新频率</w:t>
            </w:r>
          </w:p>
        </w:tc>
        <w:tc>
          <w:tcPr>
            <w:tcW w:w="7056" w:type="dxa"/>
            <w:gridSpan w:val="3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0"/>
              <w:jc w:val="center"/>
              <w:rPr>
                <w:rFonts w:hint="default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每年一次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确认方式</w:t>
            </w:r>
          </w:p>
        </w:tc>
        <w:tc>
          <w:tcPr>
            <w:tcW w:w="7056" w:type="dxa"/>
            <w:gridSpan w:val="3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cs="宋体"/>
                <w:color w:val="000000"/>
                <w:szCs w:val="21"/>
                <w:lang w:val="en-US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供应链管理部门</w:t>
            </w: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根据</w:t>
            </w:r>
            <w:r>
              <w:rPr>
                <w:rFonts w:hint="eastAsia" w:hAnsi="宋体" w:cs="宋体"/>
                <w:color w:val="000000"/>
                <w:szCs w:val="21"/>
              </w:rPr>
              <w:t>技术</w:t>
            </w: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部门分类而定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-10" w:leftChars="0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供应商物资属性分类如下：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363"/>
        <w:gridCol w:w="2737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品类物资</w:t>
            </w: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供应商分类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划分定义</w:t>
            </w:r>
          </w:p>
        </w:tc>
        <w:tc>
          <w:tcPr>
            <w:tcW w:w="42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</w:rPr>
              <w:t>供应商多品类物资供货分类标准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战略物资</w:t>
            </w: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战略供应商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供应风险大，双方共同利益，相互依存性高</w:t>
            </w:r>
          </w:p>
        </w:tc>
        <w:tc>
          <w:tcPr>
            <w:tcW w:w="4212" w:type="dxa"/>
            <w:vMerge w:val="restart"/>
            <w:shd w:val="clear" w:color="auto" w:fill="auto"/>
            <w:noWrap w:val="0"/>
            <w:vAlign w:val="top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hAnsi="宋体" w:cs="宋体"/>
                <w:color w:val="000000"/>
                <w:szCs w:val="21"/>
              </w:rPr>
              <w:t>、供应商供单个品类，即按对应的品类物资标准划分</w:t>
            </w:r>
          </w:p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int="eastAsia"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hAnsi="宋体" w:cs="宋体"/>
                <w:color w:val="000000"/>
                <w:szCs w:val="21"/>
              </w:rPr>
              <w:t>、供应商同时供多个品类时，按如下原则划分：</w:t>
            </w:r>
          </w:p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int="eastAsia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①</w:t>
            </w:r>
            <w:r>
              <w:rPr>
                <w:rFonts w:hint="eastAsia" w:hAnsi="宋体" w:cs="宋体"/>
                <w:color w:val="000000"/>
                <w:szCs w:val="21"/>
              </w:rPr>
              <w:t>如供方所供物料有战略品类时，即按战略物资品类划分供应商类型</w:t>
            </w:r>
            <w:r>
              <w:rPr>
                <w:rFonts w:hint="eastAsia" w:hAnsi="宋体" w:cs="宋体"/>
                <w:color w:val="000000"/>
                <w:szCs w:val="21"/>
                <w:lang w:eastAsia="zh-CN"/>
              </w:rPr>
              <w:t>。</w:t>
            </w:r>
          </w:p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int="eastAsia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②</w:t>
            </w:r>
            <w:r>
              <w:rPr>
                <w:rFonts w:hint="eastAsia" w:hAnsi="宋体" w:cs="宋体"/>
                <w:color w:val="000000"/>
                <w:szCs w:val="21"/>
              </w:rPr>
              <w:t>如供方所供物料有重要物资（未供战略品类）时，即按重要物资品类划分供应商类型</w:t>
            </w:r>
            <w:r>
              <w:rPr>
                <w:rFonts w:hint="eastAsia" w:hAnsi="宋体" w:cs="宋体"/>
                <w:color w:val="000000"/>
                <w:szCs w:val="21"/>
                <w:lang w:eastAsia="zh-CN"/>
              </w:rPr>
              <w:t>。</w:t>
            </w:r>
          </w:p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left"/>
              <w:rPr>
                <w:rFonts w:hAnsi="宋体" w:cs="宋体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③</w:t>
            </w:r>
            <w:r>
              <w:rPr>
                <w:rFonts w:hint="eastAsia" w:ascii="Calibri" w:hAnsi="Calibri" w:cs="Calibri"/>
                <w:color w:val="000000"/>
                <w:szCs w:val="21"/>
              </w:rPr>
              <w:t>如供方只供一般物资，即划分为一般供应商类型。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瓶颈供应商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供应风险大，双方低共同利益或采购方低受益，供方依存性低，采购方依存性高</w:t>
            </w:r>
          </w:p>
        </w:tc>
        <w:tc>
          <w:tcPr>
            <w:tcW w:w="4212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0"/>
              <w:jc w:val="center"/>
              <w:rPr>
                <w:rFonts w:hint="eastAsia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交易供应商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供应风险</w:t>
            </w: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小</w:t>
            </w:r>
            <w:r>
              <w:rPr>
                <w:rFonts w:hint="eastAsia" w:hAnsi="宋体" w:cs="宋体"/>
                <w:color w:val="000000"/>
                <w:szCs w:val="21"/>
              </w:rPr>
              <w:t>，双方低共同利益或采购方低受益，供方依存性低，采购方依存性</w:t>
            </w: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低</w:t>
            </w:r>
          </w:p>
        </w:tc>
        <w:tc>
          <w:tcPr>
            <w:tcW w:w="4212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0"/>
              <w:jc w:val="center"/>
              <w:rPr>
                <w:rFonts w:hint="eastAsia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重要物资</w:t>
            </w: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杠杆供应商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采购金额</w:t>
            </w: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大于供应商总销售额的30%</w:t>
            </w:r>
            <w:r>
              <w:rPr>
                <w:rFonts w:hint="eastAsia" w:hAnsi="宋体" w:cs="宋体"/>
                <w:color w:val="000000"/>
                <w:szCs w:val="21"/>
              </w:rPr>
              <w:t>，供应风险低</w:t>
            </w:r>
          </w:p>
        </w:tc>
        <w:tc>
          <w:tcPr>
            <w:tcW w:w="4212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0"/>
              <w:jc w:val="center"/>
              <w:rPr>
                <w:rFonts w:hint="eastAsia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一般供应商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采购金额</w:t>
            </w: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小于供应商总销售额的30%</w:t>
            </w:r>
            <w:r>
              <w:rPr>
                <w:rFonts w:hint="eastAsia" w:hAnsi="宋体" w:cs="宋体"/>
                <w:color w:val="000000"/>
                <w:szCs w:val="21"/>
              </w:rPr>
              <w:t>，供应风险低</w:t>
            </w:r>
          </w:p>
        </w:tc>
        <w:tc>
          <w:tcPr>
            <w:tcW w:w="4212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0"/>
              <w:jc w:val="center"/>
              <w:rPr>
                <w:rFonts w:hint="eastAsia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一般物资</w:t>
            </w:r>
          </w:p>
        </w:tc>
        <w:tc>
          <w:tcPr>
            <w:tcW w:w="1363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一般供应商</w:t>
            </w:r>
          </w:p>
        </w:tc>
        <w:tc>
          <w:tcPr>
            <w:tcW w:w="2737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采购金额小，供应风险低</w:t>
            </w:r>
          </w:p>
        </w:tc>
        <w:tc>
          <w:tcPr>
            <w:tcW w:w="4212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420"/>
              <w:jc w:val="center"/>
              <w:rPr>
                <w:rFonts w:hint="eastAsia" w:hAnsi="宋体" w:cs="宋体"/>
                <w:color w:val="000000"/>
                <w:szCs w:val="21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-10" w:leftChars="0"/>
        <w:rPr>
          <w:rFonts w:hint="default" w:ascii="宋体" w:hAnsi="宋体" w:cs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  <w:lang w:val="en-US" w:eastAsia="zh-CN"/>
        </w:rPr>
        <w:t>供应商分类应用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配额策略的应用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525"/>
        <w:gridCol w:w="2112"/>
        <w:gridCol w:w="4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品类物资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供应商分类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eastAsia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  <w:lang w:val="en-US" w:eastAsia="zh-CN"/>
              </w:rPr>
              <w:t>初次配额规则</w:t>
            </w:r>
          </w:p>
        </w:tc>
        <w:tc>
          <w:tcPr>
            <w:tcW w:w="4494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战略物资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战略供应商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≥60%</w:t>
            </w:r>
          </w:p>
        </w:tc>
        <w:tc>
          <w:tcPr>
            <w:tcW w:w="4494" w:type="dxa"/>
            <w:vMerge w:val="restart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同类物资的供货供应商中，原则上只能有一个战略供应商。若此物资只有独家供方或瓶颈供方，则不适用于此原则，按实际情况制定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瓶颈供应商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≤40%</w:t>
            </w:r>
          </w:p>
        </w:tc>
        <w:tc>
          <w:tcPr>
            <w:tcW w:w="4494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交易供应商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≤20%</w:t>
            </w:r>
          </w:p>
        </w:tc>
        <w:tc>
          <w:tcPr>
            <w:tcW w:w="4494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重要物资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杠杆供应商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≥40%</w:t>
            </w:r>
          </w:p>
        </w:tc>
        <w:tc>
          <w:tcPr>
            <w:tcW w:w="4494" w:type="dxa"/>
            <w:vMerge w:val="restart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一般供应商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＜40%</w:t>
            </w:r>
          </w:p>
        </w:tc>
        <w:tc>
          <w:tcPr>
            <w:tcW w:w="4494" w:type="dxa"/>
            <w:vMerge w:val="continue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hAnsi="宋体" w:cs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一般物资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一般供应商</w:t>
            </w:r>
          </w:p>
        </w:tc>
        <w:tc>
          <w:tcPr>
            <w:tcW w:w="2112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按实际情况制定</w:t>
            </w:r>
          </w:p>
        </w:tc>
        <w:tc>
          <w:tcPr>
            <w:tcW w:w="4494" w:type="dxa"/>
            <w:shd w:val="clear" w:color="auto" w:fill="auto"/>
            <w:noWrap w:val="0"/>
            <w:vAlign w:val="center"/>
          </w:tcPr>
          <w:p>
            <w:pPr>
              <w:pStyle w:val="16"/>
              <w:widowControl w:val="0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default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color w:val="000000"/>
                <w:szCs w:val="21"/>
                <w:lang w:val="en-US" w:eastAsia="zh-CN"/>
              </w:rPr>
              <w:t>按实际情况制定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-10" w:leftChars="0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709" w:leftChars="0" w:hanging="709" w:firstLine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原则上，同种物料的合格供应商至少要有2家以上。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供应商的初次配额由供应链管理部门制定，在目标物料完成试制后，填写《物料初次配额申请表》后，由部门领导及董事长审批后执行。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对于战略物资新准入的供应商，供货时长不超过一年，原则上应定义为交易供应商；对于重要物资新准入的供应商，供货时长不超过一年，原则上应定义为一般供应商，按以上供应商分类配额策略应用。在下一年度绩效考核完成后，可根据结果适当调整供应商分类。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供应商在下一年度供应商绩效考核完成后，供应链管理部门根据绩效结果制定相应的采购策略。评分相关原则详见《供应商绩效考核管理办法》。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新品开发及评优策略的应用</w:t>
      </w:r>
    </w:p>
    <w:p>
      <w:pPr>
        <w:numPr>
          <w:ilvl w:val="0"/>
          <w:numId w:val="0"/>
        </w:numPr>
        <w:spacing w:line="360" w:lineRule="auto"/>
        <w:ind w:left="-10" w:leftChars="0"/>
        <w:rPr>
          <w:rFonts w:hint="default" w:ascii="宋体" w:hAnsi="宋体" w:eastAsia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新品及评优策略一年执行一次，根据年度绩效考核结果，由供应链管理部门整理。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526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年度评级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新产品开发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评优评先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战略供应商、杠杆供应商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优先享用新产品开发资格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瓶颈供应商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具有新产品开发资格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交易供应商、一般供应商</w:t>
            </w:r>
          </w:p>
        </w:tc>
        <w:tc>
          <w:tcPr>
            <w:tcW w:w="25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具有新产品开发资格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禁止参与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-10" w:leftChars="0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</w:rPr>
      </w:pPr>
      <w:r>
        <w:rPr>
          <w:rFonts w:hint="eastAsia" w:eastAsia="黑体"/>
          <w:b/>
          <w:bCs/>
          <w:color w:val="000000"/>
          <w:szCs w:val="21"/>
          <w:lang w:val="en-US" w:eastAsia="zh-CN"/>
        </w:rPr>
        <w:t>相关</w:t>
      </w:r>
      <w:r>
        <w:rPr>
          <w:rFonts w:hint="eastAsia" w:ascii="黑体" w:eastAsia="黑体"/>
          <w:b/>
          <w:bCs/>
          <w:color w:val="000000"/>
          <w:szCs w:val="21"/>
        </w:rPr>
        <w:t>文件</w:t>
      </w:r>
    </w:p>
    <w:p>
      <w:pPr>
        <w:spacing w:line="360" w:lineRule="auto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《供应商绩效考核管理办法》</w:t>
      </w:r>
    </w:p>
    <w:p>
      <w:pPr>
        <w:spacing w:line="360" w:lineRule="auto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《合格供应商名录》</w:t>
      </w:r>
    </w:p>
    <w:p>
      <w:pPr>
        <w:spacing w:line="360" w:lineRule="auto"/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Cs w:val="21"/>
          <w:lang w:val="en-US" w:eastAsia="zh-CN"/>
        </w:rPr>
        <w:t>《物料初次配额申请表》</w:t>
      </w:r>
    </w:p>
    <w:bookmarkEnd w:id="0"/>
    <w:p>
      <w:pPr>
        <w:spacing w:line="360" w:lineRule="auto"/>
        <w:rPr>
          <w:color w:val="000000"/>
          <w:szCs w:val="21"/>
        </w:rPr>
      </w:pPr>
      <w:bookmarkStart w:id="2" w:name="_GoBack"/>
      <w:bookmarkEnd w:id="2"/>
      <w:r>
        <w:rPr>
          <w:rFonts w:hint="eastAsia" w:ascii="宋体" w:hAnsi="宋体" w:cs="宋体"/>
          <w:b w:val="0"/>
          <w:bCs w:val="0"/>
          <w:color w:val="000000"/>
          <w:szCs w:val="21"/>
          <w:highlight w:val="none"/>
          <w:lang w:val="en-US" w:eastAsia="zh-CN"/>
        </w:rPr>
        <w:t>《临时供应商申请表》</w:t>
      </w:r>
    </w:p>
    <w:p>
      <w:pPr>
        <w:spacing w:line="360" w:lineRule="auto"/>
        <w:rPr>
          <w:rFonts w:ascii="宋体" w:hAnsi="宋体" w:cs="宋体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163830</wp:posOffset>
                </wp:positionV>
                <wp:extent cx="2647950" cy="6350"/>
                <wp:effectExtent l="8255" t="13970" r="10795" b="8255"/>
                <wp:wrapNone/>
                <wp:docPr id="2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63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flip:y;margin-left:125.35pt;margin-top:12.9pt;height:0.5pt;width:208.5pt;z-index:251660288;mso-width-relative:page;mso-height-relative:page;" filled="f" stroked="t" coordsize="21600,21600" o:gfxdata="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nNhzDW&#10;AAAACQEAAA8AAAAAAAAAAQAgAAAAIgAAAGRycy9kb3ducmV2LnhtbFBLAQIUABQAAAAIAIdO4kCZ&#10;XGIF6QEAALoDAAAOAAAAAAAAAAEAIAAAACU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附加说明：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本办法由公司</w:t>
      </w:r>
      <w:r>
        <w:rPr>
          <w:rFonts w:hint="eastAsia" w:ascii="宋体" w:hAnsi="宋体" w:cs="宋体"/>
          <w:bCs/>
          <w:szCs w:val="21"/>
          <w:lang w:val="en-US" w:eastAsia="zh-CN"/>
        </w:rPr>
        <w:t>供应链</w:t>
      </w:r>
      <w:r>
        <w:rPr>
          <w:rFonts w:hint="eastAsia" w:ascii="宋体" w:hAnsi="宋体" w:cs="宋体"/>
          <w:bCs/>
          <w:szCs w:val="21"/>
        </w:rPr>
        <w:t>管理部门提出并解释。</w:t>
      </w:r>
    </w:p>
    <w:p>
      <w:pPr>
        <w:spacing w:line="360" w:lineRule="auto"/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本办法主要起草人:</w:t>
      </w:r>
      <w:r>
        <w:rPr>
          <w:rFonts w:hint="eastAsia" w:ascii="宋体" w:hAnsi="宋体" w:cs="宋体"/>
          <w:bCs/>
          <w:szCs w:val="21"/>
          <w:lang w:val="en-US" w:eastAsia="zh-CN"/>
        </w:rPr>
        <w:t>肖文杰</w:t>
      </w:r>
    </w:p>
    <w:p>
      <w:pPr>
        <w:spacing w:line="360" w:lineRule="auto"/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 xml:space="preserve">本办法审核人: </w:t>
      </w:r>
      <w:r>
        <w:rPr>
          <w:rFonts w:hint="eastAsia" w:ascii="宋体" w:hAnsi="宋体" w:cs="宋体"/>
          <w:bCs/>
          <w:szCs w:val="21"/>
          <w:lang w:val="en-US" w:eastAsia="zh-CN"/>
        </w:rPr>
        <w:t>张鹏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本办法批准人: </w:t>
      </w:r>
      <w:r>
        <w:rPr>
          <w:rFonts w:hint="eastAsia" w:ascii="宋体" w:hAnsi="宋体"/>
          <w:szCs w:val="21"/>
        </w:rPr>
        <w:t>陈培亮</w:t>
      </w:r>
    </w:p>
    <w:p>
      <w:pPr>
        <w:spacing w:line="360" w:lineRule="auto"/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ascii="宋体" w:hAnsi="宋体" w:cs="宋体"/>
          <w:bCs/>
          <w:szCs w:val="21"/>
        </w:rPr>
        <w:t>本规定责任人：</w:t>
      </w:r>
      <w:r>
        <w:rPr>
          <w:rFonts w:hint="eastAsia" w:ascii="宋体" w:hAnsi="宋体" w:cs="宋体"/>
          <w:bCs/>
          <w:szCs w:val="21"/>
          <w:lang w:val="en-US" w:eastAsia="zh-CN"/>
        </w:rPr>
        <w:t>肖文杰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</w:rPr>
      </w:pPr>
    </w:p>
    <w:p>
      <w:pPr>
        <w:pStyle w:val="16"/>
        <w:spacing w:line="420" w:lineRule="exact"/>
        <w:ind w:firstLine="840" w:firstLineChars="400"/>
        <w:rPr>
          <w:color w:val="000000"/>
        </w:rPr>
      </w:pPr>
    </w:p>
    <w:sectPr>
      <w:pgSz w:w="11906" w:h="16838"/>
      <w:pgMar w:top="1361" w:right="1361" w:bottom="1361" w:left="1361" w:header="1134" w:footer="85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14"/>
      <w:rPr>
        <w:rStyle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-30"/>
    </w:pPr>
    <w:r>
      <w:rPr>
        <w:rFonts w:ascii="宋体" w:hAnsi="宋体" w:cs="宋体"/>
        <w:kern w:val="0"/>
        <w:sz w:val="21"/>
        <w:szCs w:val="21"/>
      </w:rPr>
      <w:drawing>
        <wp:inline distT="0" distB="0" distL="0" distR="0">
          <wp:extent cx="1028700" cy="1714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>
      <w:t xml:space="preserve">             </w:t>
    </w:r>
    <w:r>
      <w:rPr>
        <w:rFonts w:hint="eastAsia"/>
      </w:rPr>
      <w:t xml:space="preserve">   </w:t>
    </w:r>
    <w:r>
      <w:t xml:space="preserve">                          </w:t>
    </w:r>
    <w:r>
      <w:rPr>
        <w:rFonts w:hint="eastAsia"/>
      </w:rPr>
      <w:t xml:space="preserve">           </w:t>
    </w:r>
    <w:r>
      <w:t xml:space="preserve"> </w:t>
    </w:r>
    <w:r>
      <w:rPr>
        <w:sz w:val="21"/>
      </w:rPr>
      <w:t>Q/ZLX</w:t>
    </w:r>
    <w:r>
      <w:rPr>
        <w:rFonts w:hint="eastAsia"/>
        <w:sz w:val="21"/>
      </w:rPr>
      <w:t>Cxxxxxx-xxxx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2E42F"/>
    <w:multiLevelType w:val="singleLevel"/>
    <w:tmpl w:val="D322E42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7CFB82B"/>
    <w:multiLevelType w:val="singleLevel"/>
    <w:tmpl w:val="27CFB82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1D39887"/>
    <w:multiLevelType w:val="multilevel"/>
    <w:tmpl w:val="31D39887"/>
    <w:lvl w:ilvl="0" w:tentative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 w:ascii="黑体" w:hAnsi="黑体" w:eastAsia="黑体" w:cs="黑体"/>
        <w:sz w:val="21"/>
        <w:szCs w:val="21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420"/>
        </w:tabs>
        <w:ind w:left="567" w:hanging="567"/>
      </w:pPr>
      <w:rPr>
        <w:rFonts w:hint="default" w:ascii="黑体" w:hAnsi="黑体" w:eastAsia="黑体" w:cs="黑体"/>
        <w:b/>
        <w:bCs/>
        <w:color w:val="000000"/>
        <w:sz w:val="21"/>
        <w:szCs w:val="21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09" w:hanging="709"/>
      </w:pPr>
      <w:rPr>
        <w:rFonts w:hint="default" w:ascii="黑体" w:hAnsi="黑体" w:eastAsia="黑体" w:cs="黑体"/>
        <w:b/>
        <w:bCs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67EBCDE"/>
    <w:multiLevelType w:val="singleLevel"/>
    <w:tmpl w:val="467EBC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57C2AF5"/>
    <w:multiLevelType w:val="multilevel"/>
    <w:tmpl w:val="557C2AF5"/>
    <w:lvl w:ilvl="0" w:tentative="0">
      <w:start w:val="1"/>
      <w:numFmt w:val="decimal"/>
      <w:pStyle w:val="32"/>
      <w:suff w:val="nothing"/>
      <w:lvlText w:val="图%1　"/>
      <w:lvlJc w:val="left"/>
      <w:pPr>
        <w:ind w:left="0" w:firstLine="0"/>
      </w:pPr>
      <w:rPr>
        <w:rFonts w:hint="eastAsia" w:ascii="黑体" w:hAnsi="宋体" w:eastAsia="黑体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5">
    <w:nsid w:val="657D3FBC"/>
    <w:multiLevelType w:val="multilevel"/>
    <w:tmpl w:val="657D3FBC"/>
    <w:lvl w:ilvl="0" w:tentative="0">
      <w:start w:val="1"/>
      <w:numFmt w:val="upperLetter"/>
      <w:pStyle w:val="21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22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3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4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7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6CEA2025"/>
    <w:multiLevelType w:val="multilevel"/>
    <w:tmpl w:val="6CEA2025"/>
    <w:lvl w:ilvl="0" w:tentative="0">
      <w:start w:val="1"/>
      <w:numFmt w:val="none"/>
      <w:pStyle w:val="15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8"/>
      <w:suff w:val="nothing"/>
      <w:lvlText w:val="%1%2　"/>
      <w:lvlJc w:val="left"/>
      <w:pPr>
        <w:ind w:left="257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9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0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30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3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6DBF04F4"/>
    <w:multiLevelType w:val="multilevel"/>
    <w:tmpl w:val="6DBF04F4"/>
    <w:lvl w:ilvl="0" w:tentative="0">
      <w:start w:val="1"/>
      <w:numFmt w:val="none"/>
      <w:pStyle w:val="33"/>
      <w:lvlText w:val="%1注："/>
      <w:lvlJc w:val="left"/>
      <w:pPr>
        <w:tabs>
          <w:tab w:val="left" w:pos="1140"/>
        </w:tabs>
        <w:ind w:left="840" w:hanging="420"/>
      </w:pPr>
      <w:rPr>
        <w:rFonts w:hint="eastAsia" w:ascii="宋体" w:hAnsi="Times New Roman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C6"/>
    <w:rsid w:val="000057F9"/>
    <w:rsid w:val="00005D96"/>
    <w:rsid w:val="00006E8F"/>
    <w:rsid w:val="0001070F"/>
    <w:rsid w:val="00011D84"/>
    <w:rsid w:val="000123FD"/>
    <w:rsid w:val="000126AB"/>
    <w:rsid w:val="00012FE7"/>
    <w:rsid w:val="000149E0"/>
    <w:rsid w:val="0001513A"/>
    <w:rsid w:val="000168CD"/>
    <w:rsid w:val="00017828"/>
    <w:rsid w:val="00022A64"/>
    <w:rsid w:val="00023C58"/>
    <w:rsid w:val="00024921"/>
    <w:rsid w:val="00024F99"/>
    <w:rsid w:val="00025577"/>
    <w:rsid w:val="000266E0"/>
    <w:rsid w:val="0002695E"/>
    <w:rsid w:val="00027498"/>
    <w:rsid w:val="0002773F"/>
    <w:rsid w:val="00027914"/>
    <w:rsid w:val="000312F8"/>
    <w:rsid w:val="000313F9"/>
    <w:rsid w:val="00032E3E"/>
    <w:rsid w:val="000346FC"/>
    <w:rsid w:val="00034774"/>
    <w:rsid w:val="0003580D"/>
    <w:rsid w:val="000365A0"/>
    <w:rsid w:val="00037A48"/>
    <w:rsid w:val="00037D7B"/>
    <w:rsid w:val="000405FB"/>
    <w:rsid w:val="00040C31"/>
    <w:rsid w:val="00041735"/>
    <w:rsid w:val="000417F2"/>
    <w:rsid w:val="0004286F"/>
    <w:rsid w:val="00043817"/>
    <w:rsid w:val="00044F15"/>
    <w:rsid w:val="00045208"/>
    <w:rsid w:val="000470C2"/>
    <w:rsid w:val="00051824"/>
    <w:rsid w:val="0005187B"/>
    <w:rsid w:val="00051D06"/>
    <w:rsid w:val="000525AF"/>
    <w:rsid w:val="00053558"/>
    <w:rsid w:val="00054E36"/>
    <w:rsid w:val="00055E87"/>
    <w:rsid w:val="00056F56"/>
    <w:rsid w:val="000575FF"/>
    <w:rsid w:val="0006125E"/>
    <w:rsid w:val="00061E6F"/>
    <w:rsid w:val="000629B3"/>
    <w:rsid w:val="00063784"/>
    <w:rsid w:val="000639FD"/>
    <w:rsid w:val="000642C0"/>
    <w:rsid w:val="000654A4"/>
    <w:rsid w:val="00065E41"/>
    <w:rsid w:val="00067765"/>
    <w:rsid w:val="00071CDE"/>
    <w:rsid w:val="000732DE"/>
    <w:rsid w:val="00073428"/>
    <w:rsid w:val="00073E67"/>
    <w:rsid w:val="00074C4A"/>
    <w:rsid w:val="000759B9"/>
    <w:rsid w:val="00075B33"/>
    <w:rsid w:val="000824D2"/>
    <w:rsid w:val="00082D3E"/>
    <w:rsid w:val="00083BF0"/>
    <w:rsid w:val="00083F4F"/>
    <w:rsid w:val="000856B0"/>
    <w:rsid w:val="000868B3"/>
    <w:rsid w:val="00087146"/>
    <w:rsid w:val="000903E9"/>
    <w:rsid w:val="00090C53"/>
    <w:rsid w:val="00091B49"/>
    <w:rsid w:val="00091FBE"/>
    <w:rsid w:val="0009362E"/>
    <w:rsid w:val="00094677"/>
    <w:rsid w:val="00094B29"/>
    <w:rsid w:val="000954F1"/>
    <w:rsid w:val="00095816"/>
    <w:rsid w:val="00096F04"/>
    <w:rsid w:val="000A0DB6"/>
    <w:rsid w:val="000A1403"/>
    <w:rsid w:val="000A2484"/>
    <w:rsid w:val="000A2AC0"/>
    <w:rsid w:val="000A319C"/>
    <w:rsid w:val="000A4BF2"/>
    <w:rsid w:val="000A4D6D"/>
    <w:rsid w:val="000A5115"/>
    <w:rsid w:val="000A71A8"/>
    <w:rsid w:val="000A7A14"/>
    <w:rsid w:val="000B050B"/>
    <w:rsid w:val="000B1949"/>
    <w:rsid w:val="000B1A23"/>
    <w:rsid w:val="000B28A2"/>
    <w:rsid w:val="000B2B9B"/>
    <w:rsid w:val="000B4598"/>
    <w:rsid w:val="000C0A6E"/>
    <w:rsid w:val="000C11F1"/>
    <w:rsid w:val="000C2102"/>
    <w:rsid w:val="000C2646"/>
    <w:rsid w:val="000C35CF"/>
    <w:rsid w:val="000C3E6C"/>
    <w:rsid w:val="000C503A"/>
    <w:rsid w:val="000C5436"/>
    <w:rsid w:val="000C5A95"/>
    <w:rsid w:val="000C69DD"/>
    <w:rsid w:val="000C70A1"/>
    <w:rsid w:val="000C7396"/>
    <w:rsid w:val="000D03B2"/>
    <w:rsid w:val="000D134E"/>
    <w:rsid w:val="000D41C0"/>
    <w:rsid w:val="000D4F38"/>
    <w:rsid w:val="000D5FB7"/>
    <w:rsid w:val="000D60A3"/>
    <w:rsid w:val="000D689D"/>
    <w:rsid w:val="000D6B2A"/>
    <w:rsid w:val="000D7970"/>
    <w:rsid w:val="000E056E"/>
    <w:rsid w:val="000E0DF1"/>
    <w:rsid w:val="000E1979"/>
    <w:rsid w:val="000E3E8A"/>
    <w:rsid w:val="000E483E"/>
    <w:rsid w:val="000E5C56"/>
    <w:rsid w:val="000E67FD"/>
    <w:rsid w:val="000E7503"/>
    <w:rsid w:val="000F16C6"/>
    <w:rsid w:val="000F2314"/>
    <w:rsid w:val="000F2B01"/>
    <w:rsid w:val="000F40A0"/>
    <w:rsid w:val="000F43FC"/>
    <w:rsid w:val="000F45D8"/>
    <w:rsid w:val="000F7855"/>
    <w:rsid w:val="00101A29"/>
    <w:rsid w:val="001020B6"/>
    <w:rsid w:val="001029CC"/>
    <w:rsid w:val="00102B54"/>
    <w:rsid w:val="00103963"/>
    <w:rsid w:val="001039F1"/>
    <w:rsid w:val="00103A94"/>
    <w:rsid w:val="001040B4"/>
    <w:rsid w:val="00105BC4"/>
    <w:rsid w:val="00107559"/>
    <w:rsid w:val="00110364"/>
    <w:rsid w:val="001105E8"/>
    <w:rsid w:val="00110C2F"/>
    <w:rsid w:val="0011208A"/>
    <w:rsid w:val="00114893"/>
    <w:rsid w:val="0011541F"/>
    <w:rsid w:val="00115B71"/>
    <w:rsid w:val="00120984"/>
    <w:rsid w:val="00122CBB"/>
    <w:rsid w:val="00122E17"/>
    <w:rsid w:val="0012479D"/>
    <w:rsid w:val="00124F91"/>
    <w:rsid w:val="001253EB"/>
    <w:rsid w:val="00127CA0"/>
    <w:rsid w:val="001307BC"/>
    <w:rsid w:val="00134540"/>
    <w:rsid w:val="001348C8"/>
    <w:rsid w:val="00135379"/>
    <w:rsid w:val="00136A65"/>
    <w:rsid w:val="00137BF1"/>
    <w:rsid w:val="00137D6F"/>
    <w:rsid w:val="001415FA"/>
    <w:rsid w:val="00141B9A"/>
    <w:rsid w:val="00143707"/>
    <w:rsid w:val="00144BA4"/>
    <w:rsid w:val="00144D83"/>
    <w:rsid w:val="00144F24"/>
    <w:rsid w:val="001462B8"/>
    <w:rsid w:val="0014675E"/>
    <w:rsid w:val="001471A1"/>
    <w:rsid w:val="00150533"/>
    <w:rsid w:val="00150B36"/>
    <w:rsid w:val="00152380"/>
    <w:rsid w:val="00153EFC"/>
    <w:rsid w:val="00154DD5"/>
    <w:rsid w:val="00156532"/>
    <w:rsid w:val="0015685C"/>
    <w:rsid w:val="00161251"/>
    <w:rsid w:val="001623A8"/>
    <w:rsid w:val="0016313A"/>
    <w:rsid w:val="00163417"/>
    <w:rsid w:val="00163B9E"/>
    <w:rsid w:val="00166CEB"/>
    <w:rsid w:val="00167061"/>
    <w:rsid w:val="00170056"/>
    <w:rsid w:val="00170204"/>
    <w:rsid w:val="00170F22"/>
    <w:rsid w:val="001715EC"/>
    <w:rsid w:val="00171D9C"/>
    <w:rsid w:val="001724CC"/>
    <w:rsid w:val="001727DB"/>
    <w:rsid w:val="00172BD6"/>
    <w:rsid w:val="0017363E"/>
    <w:rsid w:val="00173FA9"/>
    <w:rsid w:val="0017491D"/>
    <w:rsid w:val="001759EF"/>
    <w:rsid w:val="00177852"/>
    <w:rsid w:val="001779D3"/>
    <w:rsid w:val="00182351"/>
    <w:rsid w:val="001833E0"/>
    <w:rsid w:val="00186B2D"/>
    <w:rsid w:val="001870BA"/>
    <w:rsid w:val="001877A2"/>
    <w:rsid w:val="00193694"/>
    <w:rsid w:val="0019381D"/>
    <w:rsid w:val="00195DED"/>
    <w:rsid w:val="00196F99"/>
    <w:rsid w:val="00197B11"/>
    <w:rsid w:val="001A0E32"/>
    <w:rsid w:val="001A1149"/>
    <w:rsid w:val="001A193C"/>
    <w:rsid w:val="001A1D28"/>
    <w:rsid w:val="001A210D"/>
    <w:rsid w:val="001A299A"/>
    <w:rsid w:val="001A44DA"/>
    <w:rsid w:val="001A5CD6"/>
    <w:rsid w:val="001A5FDF"/>
    <w:rsid w:val="001A7B88"/>
    <w:rsid w:val="001A7CD8"/>
    <w:rsid w:val="001B033C"/>
    <w:rsid w:val="001B0A1B"/>
    <w:rsid w:val="001B0C21"/>
    <w:rsid w:val="001B0C91"/>
    <w:rsid w:val="001B0E09"/>
    <w:rsid w:val="001B19CB"/>
    <w:rsid w:val="001B1E71"/>
    <w:rsid w:val="001B27DE"/>
    <w:rsid w:val="001B2A70"/>
    <w:rsid w:val="001B4372"/>
    <w:rsid w:val="001B4C5E"/>
    <w:rsid w:val="001B4F46"/>
    <w:rsid w:val="001B51B5"/>
    <w:rsid w:val="001B5CAD"/>
    <w:rsid w:val="001B6573"/>
    <w:rsid w:val="001B7875"/>
    <w:rsid w:val="001C4975"/>
    <w:rsid w:val="001C4CA9"/>
    <w:rsid w:val="001C53A2"/>
    <w:rsid w:val="001C59F9"/>
    <w:rsid w:val="001D0110"/>
    <w:rsid w:val="001D0B3A"/>
    <w:rsid w:val="001D1F49"/>
    <w:rsid w:val="001D3168"/>
    <w:rsid w:val="001D353B"/>
    <w:rsid w:val="001D64EA"/>
    <w:rsid w:val="001D65D6"/>
    <w:rsid w:val="001D6A9A"/>
    <w:rsid w:val="001D7E0C"/>
    <w:rsid w:val="001E2003"/>
    <w:rsid w:val="001E6280"/>
    <w:rsid w:val="001E797C"/>
    <w:rsid w:val="001F0005"/>
    <w:rsid w:val="001F1062"/>
    <w:rsid w:val="001F1108"/>
    <w:rsid w:val="001F1D28"/>
    <w:rsid w:val="001F2762"/>
    <w:rsid w:val="001F32A5"/>
    <w:rsid w:val="001F34C7"/>
    <w:rsid w:val="001F4F6B"/>
    <w:rsid w:val="00201424"/>
    <w:rsid w:val="002020B6"/>
    <w:rsid w:val="00205757"/>
    <w:rsid w:val="00206E0B"/>
    <w:rsid w:val="00212731"/>
    <w:rsid w:val="00213000"/>
    <w:rsid w:val="00213248"/>
    <w:rsid w:val="00213C78"/>
    <w:rsid w:val="00220050"/>
    <w:rsid w:val="002213FA"/>
    <w:rsid w:val="00221B61"/>
    <w:rsid w:val="0022223D"/>
    <w:rsid w:val="002228C2"/>
    <w:rsid w:val="00222B36"/>
    <w:rsid w:val="00224BB5"/>
    <w:rsid w:val="00225044"/>
    <w:rsid w:val="00225352"/>
    <w:rsid w:val="00225FDE"/>
    <w:rsid w:val="00226DF7"/>
    <w:rsid w:val="00231306"/>
    <w:rsid w:val="00231800"/>
    <w:rsid w:val="00233C32"/>
    <w:rsid w:val="0023458A"/>
    <w:rsid w:val="00236F3B"/>
    <w:rsid w:val="0023742C"/>
    <w:rsid w:val="00241DA2"/>
    <w:rsid w:val="0024264E"/>
    <w:rsid w:val="00242F99"/>
    <w:rsid w:val="00243730"/>
    <w:rsid w:val="00244353"/>
    <w:rsid w:val="00244410"/>
    <w:rsid w:val="00244501"/>
    <w:rsid w:val="00246503"/>
    <w:rsid w:val="00246A7A"/>
    <w:rsid w:val="002511BF"/>
    <w:rsid w:val="002514A4"/>
    <w:rsid w:val="00253F1C"/>
    <w:rsid w:val="00254A20"/>
    <w:rsid w:val="00255A8D"/>
    <w:rsid w:val="00255B0B"/>
    <w:rsid w:val="00256284"/>
    <w:rsid w:val="00256AAE"/>
    <w:rsid w:val="00256EFF"/>
    <w:rsid w:val="00260D7B"/>
    <w:rsid w:val="00261E9C"/>
    <w:rsid w:val="00261F18"/>
    <w:rsid w:val="00262746"/>
    <w:rsid w:val="00262FA2"/>
    <w:rsid w:val="00264253"/>
    <w:rsid w:val="002644B3"/>
    <w:rsid w:val="00264E8E"/>
    <w:rsid w:val="00266B1F"/>
    <w:rsid w:val="0027027C"/>
    <w:rsid w:val="00270351"/>
    <w:rsid w:val="002710E1"/>
    <w:rsid w:val="00272328"/>
    <w:rsid w:val="00272EC6"/>
    <w:rsid w:val="00272EE7"/>
    <w:rsid w:val="002754E6"/>
    <w:rsid w:val="00276893"/>
    <w:rsid w:val="00277801"/>
    <w:rsid w:val="00280775"/>
    <w:rsid w:val="00281544"/>
    <w:rsid w:val="00281D26"/>
    <w:rsid w:val="002834BE"/>
    <w:rsid w:val="00283925"/>
    <w:rsid w:val="00283E2A"/>
    <w:rsid w:val="00285053"/>
    <w:rsid w:val="002850B2"/>
    <w:rsid w:val="002867BF"/>
    <w:rsid w:val="00290C91"/>
    <w:rsid w:val="00290D09"/>
    <w:rsid w:val="00290D2E"/>
    <w:rsid w:val="0029362D"/>
    <w:rsid w:val="0029560E"/>
    <w:rsid w:val="002966FE"/>
    <w:rsid w:val="00296E7F"/>
    <w:rsid w:val="002970E2"/>
    <w:rsid w:val="002979AE"/>
    <w:rsid w:val="002979B7"/>
    <w:rsid w:val="002A14DE"/>
    <w:rsid w:val="002A3A65"/>
    <w:rsid w:val="002A7374"/>
    <w:rsid w:val="002A7454"/>
    <w:rsid w:val="002B058B"/>
    <w:rsid w:val="002B106C"/>
    <w:rsid w:val="002B3549"/>
    <w:rsid w:val="002B38E0"/>
    <w:rsid w:val="002B4104"/>
    <w:rsid w:val="002B4D99"/>
    <w:rsid w:val="002B578E"/>
    <w:rsid w:val="002B5FC6"/>
    <w:rsid w:val="002B6351"/>
    <w:rsid w:val="002B6B13"/>
    <w:rsid w:val="002B6CBB"/>
    <w:rsid w:val="002B7581"/>
    <w:rsid w:val="002B76A5"/>
    <w:rsid w:val="002C04CB"/>
    <w:rsid w:val="002C35EF"/>
    <w:rsid w:val="002C3B23"/>
    <w:rsid w:val="002C4144"/>
    <w:rsid w:val="002C4DC1"/>
    <w:rsid w:val="002C60D2"/>
    <w:rsid w:val="002C6D10"/>
    <w:rsid w:val="002C6F62"/>
    <w:rsid w:val="002C75DE"/>
    <w:rsid w:val="002C7B61"/>
    <w:rsid w:val="002D0713"/>
    <w:rsid w:val="002D1890"/>
    <w:rsid w:val="002D3117"/>
    <w:rsid w:val="002D3EA4"/>
    <w:rsid w:val="002D5A12"/>
    <w:rsid w:val="002D5AF2"/>
    <w:rsid w:val="002D62FC"/>
    <w:rsid w:val="002D7020"/>
    <w:rsid w:val="002D743E"/>
    <w:rsid w:val="002E3B91"/>
    <w:rsid w:val="002E40E4"/>
    <w:rsid w:val="002E6B22"/>
    <w:rsid w:val="002E7B5D"/>
    <w:rsid w:val="002F1CCB"/>
    <w:rsid w:val="002F34E5"/>
    <w:rsid w:val="002F3A3F"/>
    <w:rsid w:val="002F672F"/>
    <w:rsid w:val="002F792F"/>
    <w:rsid w:val="00300082"/>
    <w:rsid w:val="0030085D"/>
    <w:rsid w:val="003034B7"/>
    <w:rsid w:val="00304DF6"/>
    <w:rsid w:val="0030511A"/>
    <w:rsid w:val="003058D0"/>
    <w:rsid w:val="00306AD3"/>
    <w:rsid w:val="00307353"/>
    <w:rsid w:val="0030765F"/>
    <w:rsid w:val="00307B05"/>
    <w:rsid w:val="00310722"/>
    <w:rsid w:val="0031224B"/>
    <w:rsid w:val="00313F49"/>
    <w:rsid w:val="0031576B"/>
    <w:rsid w:val="00316719"/>
    <w:rsid w:val="00316EC7"/>
    <w:rsid w:val="00317789"/>
    <w:rsid w:val="00320508"/>
    <w:rsid w:val="0032121B"/>
    <w:rsid w:val="003238C5"/>
    <w:rsid w:val="00323EDB"/>
    <w:rsid w:val="00327CF8"/>
    <w:rsid w:val="0033467A"/>
    <w:rsid w:val="00336EEC"/>
    <w:rsid w:val="00337A85"/>
    <w:rsid w:val="00337BEC"/>
    <w:rsid w:val="003400E9"/>
    <w:rsid w:val="0034091C"/>
    <w:rsid w:val="00341438"/>
    <w:rsid w:val="003433B1"/>
    <w:rsid w:val="00344674"/>
    <w:rsid w:val="003463F9"/>
    <w:rsid w:val="00346F0B"/>
    <w:rsid w:val="0034746C"/>
    <w:rsid w:val="00347612"/>
    <w:rsid w:val="00347FDF"/>
    <w:rsid w:val="00353148"/>
    <w:rsid w:val="00355BB1"/>
    <w:rsid w:val="00355E44"/>
    <w:rsid w:val="0035636F"/>
    <w:rsid w:val="00356F95"/>
    <w:rsid w:val="003572AD"/>
    <w:rsid w:val="003573C2"/>
    <w:rsid w:val="003603D2"/>
    <w:rsid w:val="00360505"/>
    <w:rsid w:val="00360F82"/>
    <w:rsid w:val="00363069"/>
    <w:rsid w:val="00364743"/>
    <w:rsid w:val="00364A3F"/>
    <w:rsid w:val="0036504D"/>
    <w:rsid w:val="003659F6"/>
    <w:rsid w:val="00366444"/>
    <w:rsid w:val="00366513"/>
    <w:rsid w:val="00366DED"/>
    <w:rsid w:val="00367F7F"/>
    <w:rsid w:val="0037000E"/>
    <w:rsid w:val="003716C1"/>
    <w:rsid w:val="0037247C"/>
    <w:rsid w:val="00372B34"/>
    <w:rsid w:val="003733A3"/>
    <w:rsid w:val="0037381C"/>
    <w:rsid w:val="003740F5"/>
    <w:rsid w:val="003745F6"/>
    <w:rsid w:val="003748A1"/>
    <w:rsid w:val="003752D2"/>
    <w:rsid w:val="00375C36"/>
    <w:rsid w:val="003767D4"/>
    <w:rsid w:val="00377BBA"/>
    <w:rsid w:val="00381FFC"/>
    <w:rsid w:val="003834A9"/>
    <w:rsid w:val="00383CDB"/>
    <w:rsid w:val="00384CF5"/>
    <w:rsid w:val="0038645D"/>
    <w:rsid w:val="003866E6"/>
    <w:rsid w:val="003900CD"/>
    <w:rsid w:val="0039424E"/>
    <w:rsid w:val="00394516"/>
    <w:rsid w:val="00396D48"/>
    <w:rsid w:val="00397067"/>
    <w:rsid w:val="00397F0B"/>
    <w:rsid w:val="003A18A1"/>
    <w:rsid w:val="003A2639"/>
    <w:rsid w:val="003A69B2"/>
    <w:rsid w:val="003A778F"/>
    <w:rsid w:val="003A7C34"/>
    <w:rsid w:val="003B0092"/>
    <w:rsid w:val="003B1A6E"/>
    <w:rsid w:val="003B1FF7"/>
    <w:rsid w:val="003B27FE"/>
    <w:rsid w:val="003B2CF5"/>
    <w:rsid w:val="003B2D6E"/>
    <w:rsid w:val="003B3199"/>
    <w:rsid w:val="003B39FD"/>
    <w:rsid w:val="003B406F"/>
    <w:rsid w:val="003B511B"/>
    <w:rsid w:val="003B6EF8"/>
    <w:rsid w:val="003B7A37"/>
    <w:rsid w:val="003C0466"/>
    <w:rsid w:val="003C05FC"/>
    <w:rsid w:val="003C17A6"/>
    <w:rsid w:val="003C22F6"/>
    <w:rsid w:val="003C2AD0"/>
    <w:rsid w:val="003C2FAE"/>
    <w:rsid w:val="003C4ABE"/>
    <w:rsid w:val="003D0288"/>
    <w:rsid w:val="003D1FEF"/>
    <w:rsid w:val="003D31EC"/>
    <w:rsid w:val="003D3D9D"/>
    <w:rsid w:val="003D423A"/>
    <w:rsid w:val="003D4C6F"/>
    <w:rsid w:val="003D6B13"/>
    <w:rsid w:val="003D6DA7"/>
    <w:rsid w:val="003E11C1"/>
    <w:rsid w:val="003E3F59"/>
    <w:rsid w:val="003F2F0F"/>
    <w:rsid w:val="003F3A07"/>
    <w:rsid w:val="003F4161"/>
    <w:rsid w:val="003F4A85"/>
    <w:rsid w:val="003F4F27"/>
    <w:rsid w:val="003F61D3"/>
    <w:rsid w:val="003F6FC8"/>
    <w:rsid w:val="003F7D48"/>
    <w:rsid w:val="004018AD"/>
    <w:rsid w:val="00401921"/>
    <w:rsid w:val="00403299"/>
    <w:rsid w:val="004111A4"/>
    <w:rsid w:val="00411A64"/>
    <w:rsid w:val="0041435F"/>
    <w:rsid w:val="0041591B"/>
    <w:rsid w:val="00421DCD"/>
    <w:rsid w:val="00422590"/>
    <w:rsid w:val="0042277E"/>
    <w:rsid w:val="00423F70"/>
    <w:rsid w:val="004254DC"/>
    <w:rsid w:val="004264AE"/>
    <w:rsid w:val="00426512"/>
    <w:rsid w:val="00426CF7"/>
    <w:rsid w:val="004274F6"/>
    <w:rsid w:val="00431113"/>
    <w:rsid w:val="00432986"/>
    <w:rsid w:val="004333D7"/>
    <w:rsid w:val="0043753F"/>
    <w:rsid w:val="00437C74"/>
    <w:rsid w:val="0044031F"/>
    <w:rsid w:val="00440EBA"/>
    <w:rsid w:val="00442065"/>
    <w:rsid w:val="00442A8F"/>
    <w:rsid w:val="00444F03"/>
    <w:rsid w:val="00445381"/>
    <w:rsid w:val="004456B7"/>
    <w:rsid w:val="004461DC"/>
    <w:rsid w:val="00447A91"/>
    <w:rsid w:val="004510F4"/>
    <w:rsid w:val="00452172"/>
    <w:rsid w:val="00453A43"/>
    <w:rsid w:val="004544C9"/>
    <w:rsid w:val="00454B29"/>
    <w:rsid w:val="004567CB"/>
    <w:rsid w:val="004569DB"/>
    <w:rsid w:val="00456D8D"/>
    <w:rsid w:val="00457618"/>
    <w:rsid w:val="00457C92"/>
    <w:rsid w:val="004608C0"/>
    <w:rsid w:val="00460D6D"/>
    <w:rsid w:val="00462673"/>
    <w:rsid w:val="00462EDF"/>
    <w:rsid w:val="0046521C"/>
    <w:rsid w:val="00466ECD"/>
    <w:rsid w:val="00467D61"/>
    <w:rsid w:val="0047091A"/>
    <w:rsid w:val="004715C9"/>
    <w:rsid w:val="00471BC8"/>
    <w:rsid w:val="004725FA"/>
    <w:rsid w:val="004726BD"/>
    <w:rsid w:val="0047288D"/>
    <w:rsid w:val="00473AFD"/>
    <w:rsid w:val="00473B0B"/>
    <w:rsid w:val="0047434E"/>
    <w:rsid w:val="00475558"/>
    <w:rsid w:val="0047641D"/>
    <w:rsid w:val="004772FA"/>
    <w:rsid w:val="004824F2"/>
    <w:rsid w:val="00482F80"/>
    <w:rsid w:val="004841C4"/>
    <w:rsid w:val="004844D0"/>
    <w:rsid w:val="00484CE2"/>
    <w:rsid w:val="00484EA7"/>
    <w:rsid w:val="004854BD"/>
    <w:rsid w:val="00486C7D"/>
    <w:rsid w:val="004903BF"/>
    <w:rsid w:val="0049075A"/>
    <w:rsid w:val="00491453"/>
    <w:rsid w:val="00495085"/>
    <w:rsid w:val="0049508D"/>
    <w:rsid w:val="00495282"/>
    <w:rsid w:val="004A098C"/>
    <w:rsid w:val="004A16CD"/>
    <w:rsid w:val="004A1DB9"/>
    <w:rsid w:val="004A2ABB"/>
    <w:rsid w:val="004A2BF1"/>
    <w:rsid w:val="004A3191"/>
    <w:rsid w:val="004A774C"/>
    <w:rsid w:val="004B0DEB"/>
    <w:rsid w:val="004B14C5"/>
    <w:rsid w:val="004B20BD"/>
    <w:rsid w:val="004B3433"/>
    <w:rsid w:val="004B394E"/>
    <w:rsid w:val="004B6F16"/>
    <w:rsid w:val="004B738F"/>
    <w:rsid w:val="004C0E8B"/>
    <w:rsid w:val="004C1BDF"/>
    <w:rsid w:val="004C1EE3"/>
    <w:rsid w:val="004C1EF1"/>
    <w:rsid w:val="004C342D"/>
    <w:rsid w:val="004C4C7C"/>
    <w:rsid w:val="004C6370"/>
    <w:rsid w:val="004C795A"/>
    <w:rsid w:val="004D2949"/>
    <w:rsid w:val="004D4B67"/>
    <w:rsid w:val="004E116C"/>
    <w:rsid w:val="004E177A"/>
    <w:rsid w:val="004E1C98"/>
    <w:rsid w:val="004E23D2"/>
    <w:rsid w:val="004E321C"/>
    <w:rsid w:val="004E35F6"/>
    <w:rsid w:val="004E39AD"/>
    <w:rsid w:val="004E4892"/>
    <w:rsid w:val="004E5A84"/>
    <w:rsid w:val="004E7001"/>
    <w:rsid w:val="004E727B"/>
    <w:rsid w:val="004F1CA5"/>
    <w:rsid w:val="004F3349"/>
    <w:rsid w:val="004F47E4"/>
    <w:rsid w:val="004F5895"/>
    <w:rsid w:val="004F6657"/>
    <w:rsid w:val="004F7096"/>
    <w:rsid w:val="0050027E"/>
    <w:rsid w:val="005022F3"/>
    <w:rsid w:val="00503D6A"/>
    <w:rsid w:val="00505017"/>
    <w:rsid w:val="005069CE"/>
    <w:rsid w:val="0051050A"/>
    <w:rsid w:val="00510630"/>
    <w:rsid w:val="00515038"/>
    <w:rsid w:val="005164E8"/>
    <w:rsid w:val="00517C02"/>
    <w:rsid w:val="00521B16"/>
    <w:rsid w:val="005230E3"/>
    <w:rsid w:val="00524652"/>
    <w:rsid w:val="00525994"/>
    <w:rsid w:val="00526876"/>
    <w:rsid w:val="0053122C"/>
    <w:rsid w:val="005337F2"/>
    <w:rsid w:val="0053689C"/>
    <w:rsid w:val="00536C0D"/>
    <w:rsid w:val="00537E82"/>
    <w:rsid w:val="00537E90"/>
    <w:rsid w:val="00540C2E"/>
    <w:rsid w:val="005413C4"/>
    <w:rsid w:val="005416CD"/>
    <w:rsid w:val="005421CE"/>
    <w:rsid w:val="00542274"/>
    <w:rsid w:val="00543D21"/>
    <w:rsid w:val="00547AF0"/>
    <w:rsid w:val="005504CE"/>
    <w:rsid w:val="00550A5C"/>
    <w:rsid w:val="00551440"/>
    <w:rsid w:val="00551F89"/>
    <w:rsid w:val="00553385"/>
    <w:rsid w:val="005538E6"/>
    <w:rsid w:val="005546C7"/>
    <w:rsid w:val="00554F6E"/>
    <w:rsid w:val="00556126"/>
    <w:rsid w:val="005568DB"/>
    <w:rsid w:val="00556F55"/>
    <w:rsid w:val="005609FB"/>
    <w:rsid w:val="00561ACA"/>
    <w:rsid w:val="005622BE"/>
    <w:rsid w:val="00562D33"/>
    <w:rsid w:val="0056354D"/>
    <w:rsid w:val="00565297"/>
    <w:rsid w:val="0056537E"/>
    <w:rsid w:val="00566C6F"/>
    <w:rsid w:val="00566D83"/>
    <w:rsid w:val="00570D7B"/>
    <w:rsid w:val="00570DFE"/>
    <w:rsid w:val="005714B2"/>
    <w:rsid w:val="005719DA"/>
    <w:rsid w:val="00571AC2"/>
    <w:rsid w:val="0057295C"/>
    <w:rsid w:val="005732B4"/>
    <w:rsid w:val="00574AEE"/>
    <w:rsid w:val="005762A1"/>
    <w:rsid w:val="005778D2"/>
    <w:rsid w:val="00581659"/>
    <w:rsid w:val="005818AA"/>
    <w:rsid w:val="00582F21"/>
    <w:rsid w:val="00584C29"/>
    <w:rsid w:val="00585154"/>
    <w:rsid w:val="005854B4"/>
    <w:rsid w:val="00585892"/>
    <w:rsid w:val="00585A5B"/>
    <w:rsid w:val="00586877"/>
    <w:rsid w:val="00586DE8"/>
    <w:rsid w:val="00591F07"/>
    <w:rsid w:val="00592470"/>
    <w:rsid w:val="00593EDE"/>
    <w:rsid w:val="00594E92"/>
    <w:rsid w:val="00594FA2"/>
    <w:rsid w:val="005956D7"/>
    <w:rsid w:val="00595C40"/>
    <w:rsid w:val="00596318"/>
    <w:rsid w:val="005A0CBF"/>
    <w:rsid w:val="005A1984"/>
    <w:rsid w:val="005A3318"/>
    <w:rsid w:val="005A384E"/>
    <w:rsid w:val="005A7185"/>
    <w:rsid w:val="005B27E2"/>
    <w:rsid w:val="005B2C59"/>
    <w:rsid w:val="005B3B04"/>
    <w:rsid w:val="005B3D80"/>
    <w:rsid w:val="005B46E4"/>
    <w:rsid w:val="005B736A"/>
    <w:rsid w:val="005B79D3"/>
    <w:rsid w:val="005B7B05"/>
    <w:rsid w:val="005B7BFC"/>
    <w:rsid w:val="005C0106"/>
    <w:rsid w:val="005C036D"/>
    <w:rsid w:val="005C06E3"/>
    <w:rsid w:val="005C096D"/>
    <w:rsid w:val="005C1F53"/>
    <w:rsid w:val="005C217F"/>
    <w:rsid w:val="005C31FB"/>
    <w:rsid w:val="005C3897"/>
    <w:rsid w:val="005C479B"/>
    <w:rsid w:val="005C65B5"/>
    <w:rsid w:val="005C7FA3"/>
    <w:rsid w:val="005D2D97"/>
    <w:rsid w:val="005D3D80"/>
    <w:rsid w:val="005D75DB"/>
    <w:rsid w:val="005E0219"/>
    <w:rsid w:val="005E2FF2"/>
    <w:rsid w:val="005E34DC"/>
    <w:rsid w:val="005E38BE"/>
    <w:rsid w:val="005E4906"/>
    <w:rsid w:val="005E5CEB"/>
    <w:rsid w:val="005E7810"/>
    <w:rsid w:val="005E79F6"/>
    <w:rsid w:val="005F1EEC"/>
    <w:rsid w:val="005F417B"/>
    <w:rsid w:val="005F4EC9"/>
    <w:rsid w:val="005F65F1"/>
    <w:rsid w:val="005F6650"/>
    <w:rsid w:val="005F6AA9"/>
    <w:rsid w:val="0060200A"/>
    <w:rsid w:val="00602946"/>
    <w:rsid w:val="00603BD9"/>
    <w:rsid w:val="006047BD"/>
    <w:rsid w:val="006047D7"/>
    <w:rsid w:val="00604EF3"/>
    <w:rsid w:val="0060550E"/>
    <w:rsid w:val="006057E1"/>
    <w:rsid w:val="00606636"/>
    <w:rsid w:val="0061289B"/>
    <w:rsid w:val="00612989"/>
    <w:rsid w:val="00613D38"/>
    <w:rsid w:val="00615D75"/>
    <w:rsid w:val="006161A0"/>
    <w:rsid w:val="0061763E"/>
    <w:rsid w:val="006177EE"/>
    <w:rsid w:val="00617DC4"/>
    <w:rsid w:val="00620460"/>
    <w:rsid w:val="0062047D"/>
    <w:rsid w:val="006211DA"/>
    <w:rsid w:val="006217FA"/>
    <w:rsid w:val="00622C2E"/>
    <w:rsid w:val="00622EC5"/>
    <w:rsid w:val="0062575E"/>
    <w:rsid w:val="00625A3D"/>
    <w:rsid w:val="00626406"/>
    <w:rsid w:val="00634344"/>
    <w:rsid w:val="006351D9"/>
    <w:rsid w:val="00636F6E"/>
    <w:rsid w:val="00641559"/>
    <w:rsid w:val="00641840"/>
    <w:rsid w:val="00641A2A"/>
    <w:rsid w:val="006432C9"/>
    <w:rsid w:val="00643D9D"/>
    <w:rsid w:val="00645096"/>
    <w:rsid w:val="006457A7"/>
    <w:rsid w:val="006457E7"/>
    <w:rsid w:val="0064671C"/>
    <w:rsid w:val="006471D4"/>
    <w:rsid w:val="0064774F"/>
    <w:rsid w:val="006506DD"/>
    <w:rsid w:val="00651113"/>
    <w:rsid w:val="00651B8A"/>
    <w:rsid w:val="00652312"/>
    <w:rsid w:val="0065236D"/>
    <w:rsid w:val="00656746"/>
    <w:rsid w:val="006567CB"/>
    <w:rsid w:val="006572BB"/>
    <w:rsid w:val="00660200"/>
    <w:rsid w:val="0066111C"/>
    <w:rsid w:val="00662721"/>
    <w:rsid w:val="00662A0A"/>
    <w:rsid w:val="00663BDE"/>
    <w:rsid w:val="00664D9A"/>
    <w:rsid w:val="00665764"/>
    <w:rsid w:val="006669D0"/>
    <w:rsid w:val="0066797A"/>
    <w:rsid w:val="006702E3"/>
    <w:rsid w:val="00671821"/>
    <w:rsid w:val="00672221"/>
    <w:rsid w:val="00673825"/>
    <w:rsid w:val="006743D6"/>
    <w:rsid w:val="00675316"/>
    <w:rsid w:val="00676470"/>
    <w:rsid w:val="00676E22"/>
    <w:rsid w:val="006770F1"/>
    <w:rsid w:val="00677B38"/>
    <w:rsid w:val="00677C9B"/>
    <w:rsid w:val="00680771"/>
    <w:rsid w:val="00682790"/>
    <w:rsid w:val="00685591"/>
    <w:rsid w:val="00685B34"/>
    <w:rsid w:val="00685F81"/>
    <w:rsid w:val="00686175"/>
    <w:rsid w:val="00686F40"/>
    <w:rsid w:val="00686FC2"/>
    <w:rsid w:val="00690911"/>
    <w:rsid w:val="0069108B"/>
    <w:rsid w:val="00691C7E"/>
    <w:rsid w:val="0069286E"/>
    <w:rsid w:val="00692BE5"/>
    <w:rsid w:val="006938F5"/>
    <w:rsid w:val="006940FD"/>
    <w:rsid w:val="00697207"/>
    <w:rsid w:val="00697496"/>
    <w:rsid w:val="0069754C"/>
    <w:rsid w:val="006A12ED"/>
    <w:rsid w:val="006A18D8"/>
    <w:rsid w:val="006A2E72"/>
    <w:rsid w:val="006A4AB9"/>
    <w:rsid w:val="006A568F"/>
    <w:rsid w:val="006A5E82"/>
    <w:rsid w:val="006A6598"/>
    <w:rsid w:val="006A6950"/>
    <w:rsid w:val="006A6EE1"/>
    <w:rsid w:val="006A759E"/>
    <w:rsid w:val="006A7867"/>
    <w:rsid w:val="006B088D"/>
    <w:rsid w:val="006B0FD3"/>
    <w:rsid w:val="006B25AF"/>
    <w:rsid w:val="006B2C37"/>
    <w:rsid w:val="006B3BCA"/>
    <w:rsid w:val="006B4041"/>
    <w:rsid w:val="006B5E41"/>
    <w:rsid w:val="006B798A"/>
    <w:rsid w:val="006C1280"/>
    <w:rsid w:val="006C1765"/>
    <w:rsid w:val="006C1766"/>
    <w:rsid w:val="006C1CBB"/>
    <w:rsid w:val="006C2BCF"/>
    <w:rsid w:val="006C32A6"/>
    <w:rsid w:val="006C4FD7"/>
    <w:rsid w:val="006D28CF"/>
    <w:rsid w:val="006D2EFE"/>
    <w:rsid w:val="006E057D"/>
    <w:rsid w:val="006E3DDF"/>
    <w:rsid w:val="006E3ED6"/>
    <w:rsid w:val="006E4BA4"/>
    <w:rsid w:val="006E614F"/>
    <w:rsid w:val="006F00C7"/>
    <w:rsid w:val="006F0464"/>
    <w:rsid w:val="006F0A45"/>
    <w:rsid w:val="006F3E6C"/>
    <w:rsid w:val="006F4081"/>
    <w:rsid w:val="006F40AF"/>
    <w:rsid w:val="006F6108"/>
    <w:rsid w:val="006F69C2"/>
    <w:rsid w:val="006F76F0"/>
    <w:rsid w:val="006F773F"/>
    <w:rsid w:val="007019CB"/>
    <w:rsid w:val="007023FD"/>
    <w:rsid w:val="007031DA"/>
    <w:rsid w:val="007051D9"/>
    <w:rsid w:val="00706150"/>
    <w:rsid w:val="007061EB"/>
    <w:rsid w:val="0070684F"/>
    <w:rsid w:val="00706B38"/>
    <w:rsid w:val="00707147"/>
    <w:rsid w:val="00707D42"/>
    <w:rsid w:val="007111EC"/>
    <w:rsid w:val="00712068"/>
    <w:rsid w:val="00716C7F"/>
    <w:rsid w:val="00717F7F"/>
    <w:rsid w:val="0072046C"/>
    <w:rsid w:val="00720609"/>
    <w:rsid w:val="00721F00"/>
    <w:rsid w:val="007233FD"/>
    <w:rsid w:val="0072415B"/>
    <w:rsid w:val="00731365"/>
    <w:rsid w:val="00731EBB"/>
    <w:rsid w:val="00732AAD"/>
    <w:rsid w:val="0073379B"/>
    <w:rsid w:val="00734BBA"/>
    <w:rsid w:val="00736C2F"/>
    <w:rsid w:val="00741C94"/>
    <w:rsid w:val="00742B33"/>
    <w:rsid w:val="00742FA9"/>
    <w:rsid w:val="007445B1"/>
    <w:rsid w:val="00745838"/>
    <w:rsid w:val="0075024B"/>
    <w:rsid w:val="0075038A"/>
    <w:rsid w:val="0075180F"/>
    <w:rsid w:val="00752DC4"/>
    <w:rsid w:val="007546AD"/>
    <w:rsid w:val="00754A0B"/>
    <w:rsid w:val="00754C2C"/>
    <w:rsid w:val="007573AF"/>
    <w:rsid w:val="00761021"/>
    <w:rsid w:val="007637BD"/>
    <w:rsid w:val="00771E6F"/>
    <w:rsid w:val="00771F46"/>
    <w:rsid w:val="00772F6F"/>
    <w:rsid w:val="0077579A"/>
    <w:rsid w:val="00775F41"/>
    <w:rsid w:val="007765A8"/>
    <w:rsid w:val="00776CE5"/>
    <w:rsid w:val="00781CC2"/>
    <w:rsid w:val="00782539"/>
    <w:rsid w:val="0078306D"/>
    <w:rsid w:val="00791A53"/>
    <w:rsid w:val="007933C2"/>
    <w:rsid w:val="00796ED6"/>
    <w:rsid w:val="00796F61"/>
    <w:rsid w:val="0079762B"/>
    <w:rsid w:val="007A1792"/>
    <w:rsid w:val="007A1D4A"/>
    <w:rsid w:val="007A22FF"/>
    <w:rsid w:val="007A2CE6"/>
    <w:rsid w:val="007A3DE7"/>
    <w:rsid w:val="007A61B7"/>
    <w:rsid w:val="007A6485"/>
    <w:rsid w:val="007A6616"/>
    <w:rsid w:val="007A675F"/>
    <w:rsid w:val="007A73E2"/>
    <w:rsid w:val="007A7D9D"/>
    <w:rsid w:val="007B0080"/>
    <w:rsid w:val="007B08C6"/>
    <w:rsid w:val="007B1556"/>
    <w:rsid w:val="007B275D"/>
    <w:rsid w:val="007B378B"/>
    <w:rsid w:val="007B3BD2"/>
    <w:rsid w:val="007B7481"/>
    <w:rsid w:val="007C06C1"/>
    <w:rsid w:val="007C16A8"/>
    <w:rsid w:val="007C2BB5"/>
    <w:rsid w:val="007C33E9"/>
    <w:rsid w:val="007C39F0"/>
    <w:rsid w:val="007C7E48"/>
    <w:rsid w:val="007D0DF1"/>
    <w:rsid w:val="007D1078"/>
    <w:rsid w:val="007D10ED"/>
    <w:rsid w:val="007D1893"/>
    <w:rsid w:val="007D2D7F"/>
    <w:rsid w:val="007D44D2"/>
    <w:rsid w:val="007D76ED"/>
    <w:rsid w:val="007E02AA"/>
    <w:rsid w:val="007E17ED"/>
    <w:rsid w:val="007E3069"/>
    <w:rsid w:val="007E316B"/>
    <w:rsid w:val="007E3D11"/>
    <w:rsid w:val="007E49B3"/>
    <w:rsid w:val="007E4C95"/>
    <w:rsid w:val="007E5AD7"/>
    <w:rsid w:val="007E74C1"/>
    <w:rsid w:val="007E7B0B"/>
    <w:rsid w:val="007F01DB"/>
    <w:rsid w:val="007F25FB"/>
    <w:rsid w:val="007F35A7"/>
    <w:rsid w:val="007F4C9B"/>
    <w:rsid w:val="008010F2"/>
    <w:rsid w:val="008019ED"/>
    <w:rsid w:val="0080368D"/>
    <w:rsid w:val="00804218"/>
    <w:rsid w:val="008127EA"/>
    <w:rsid w:val="0081298D"/>
    <w:rsid w:val="00813473"/>
    <w:rsid w:val="008135C3"/>
    <w:rsid w:val="00814797"/>
    <w:rsid w:val="0081493A"/>
    <w:rsid w:val="00815D60"/>
    <w:rsid w:val="00816A99"/>
    <w:rsid w:val="00816B6A"/>
    <w:rsid w:val="00816C70"/>
    <w:rsid w:val="008173F0"/>
    <w:rsid w:val="00821274"/>
    <w:rsid w:val="008228C8"/>
    <w:rsid w:val="00823201"/>
    <w:rsid w:val="00823FA7"/>
    <w:rsid w:val="00824F16"/>
    <w:rsid w:val="00825656"/>
    <w:rsid w:val="00825C45"/>
    <w:rsid w:val="008267E7"/>
    <w:rsid w:val="00830829"/>
    <w:rsid w:val="0083311B"/>
    <w:rsid w:val="0083321F"/>
    <w:rsid w:val="00834BC7"/>
    <w:rsid w:val="00834EB4"/>
    <w:rsid w:val="008352E3"/>
    <w:rsid w:val="00835911"/>
    <w:rsid w:val="00835A2A"/>
    <w:rsid w:val="00835F07"/>
    <w:rsid w:val="008364CD"/>
    <w:rsid w:val="00836FD1"/>
    <w:rsid w:val="0084046C"/>
    <w:rsid w:val="00841074"/>
    <w:rsid w:val="00841353"/>
    <w:rsid w:val="00841D8C"/>
    <w:rsid w:val="008439B4"/>
    <w:rsid w:val="008447B8"/>
    <w:rsid w:val="008448D5"/>
    <w:rsid w:val="008453D2"/>
    <w:rsid w:val="00845A68"/>
    <w:rsid w:val="00845B6F"/>
    <w:rsid w:val="00846B33"/>
    <w:rsid w:val="0084712F"/>
    <w:rsid w:val="008500E8"/>
    <w:rsid w:val="00855602"/>
    <w:rsid w:val="008560D4"/>
    <w:rsid w:val="00857BFB"/>
    <w:rsid w:val="00857F5F"/>
    <w:rsid w:val="0086031B"/>
    <w:rsid w:val="00860B3B"/>
    <w:rsid w:val="00861449"/>
    <w:rsid w:val="008620CB"/>
    <w:rsid w:val="008628B8"/>
    <w:rsid w:val="008640FF"/>
    <w:rsid w:val="008645B5"/>
    <w:rsid w:val="00864600"/>
    <w:rsid w:val="008702F4"/>
    <w:rsid w:val="00871B44"/>
    <w:rsid w:val="00872966"/>
    <w:rsid w:val="00873698"/>
    <w:rsid w:val="00875077"/>
    <w:rsid w:val="00875609"/>
    <w:rsid w:val="00875D3E"/>
    <w:rsid w:val="0087600F"/>
    <w:rsid w:val="008804B3"/>
    <w:rsid w:val="008810E3"/>
    <w:rsid w:val="00881250"/>
    <w:rsid w:val="0088175F"/>
    <w:rsid w:val="0088327A"/>
    <w:rsid w:val="00883A13"/>
    <w:rsid w:val="008855E0"/>
    <w:rsid w:val="00885EEC"/>
    <w:rsid w:val="008869B0"/>
    <w:rsid w:val="0088716B"/>
    <w:rsid w:val="00887EA3"/>
    <w:rsid w:val="00890FCA"/>
    <w:rsid w:val="00893982"/>
    <w:rsid w:val="00894FA7"/>
    <w:rsid w:val="008959C7"/>
    <w:rsid w:val="00897003"/>
    <w:rsid w:val="0089705D"/>
    <w:rsid w:val="0089784A"/>
    <w:rsid w:val="008A11C1"/>
    <w:rsid w:val="008A1EB9"/>
    <w:rsid w:val="008A2552"/>
    <w:rsid w:val="008A37D1"/>
    <w:rsid w:val="008A530A"/>
    <w:rsid w:val="008A5323"/>
    <w:rsid w:val="008A5BC7"/>
    <w:rsid w:val="008A7312"/>
    <w:rsid w:val="008B08AB"/>
    <w:rsid w:val="008B0982"/>
    <w:rsid w:val="008B0AE6"/>
    <w:rsid w:val="008B2626"/>
    <w:rsid w:val="008B3966"/>
    <w:rsid w:val="008B4181"/>
    <w:rsid w:val="008B50FC"/>
    <w:rsid w:val="008B6AD9"/>
    <w:rsid w:val="008B7C3F"/>
    <w:rsid w:val="008C2F7E"/>
    <w:rsid w:val="008C32D4"/>
    <w:rsid w:val="008C64A5"/>
    <w:rsid w:val="008D17C7"/>
    <w:rsid w:val="008D19CD"/>
    <w:rsid w:val="008D1AF0"/>
    <w:rsid w:val="008D26C2"/>
    <w:rsid w:val="008D4644"/>
    <w:rsid w:val="008E0186"/>
    <w:rsid w:val="008E0295"/>
    <w:rsid w:val="008E112C"/>
    <w:rsid w:val="008E12E3"/>
    <w:rsid w:val="008E1F5A"/>
    <w:rsid w:val="008E369D"/>
    <w:rsid w:val="008E3C1C"/>
    <w:rsid w:val="008E3EAC"/>
    <w:rsid w:val="008E40CE"/>
    <w:rsid w:val="008E6115"/>
    <w:rsid w:val="008E6348"/>
    <w:rsid w:val="008F06E4"/>
    <w:rsid w:val="008F0B81"/>
    <w:rsid w:val="008F4161"/>
    <w:rsid w:val="008F6160"/>
    <w:rsid w:val="008F6F85"/>
    <w:rsid w:val="00901662"/>
    <w:rsid w:val="009022AF"/>
    <w:rsid w:val="00902BC3"/>
    <w:rsid w:val="009040DD"/>
    <w:rsid w:val="009053FE"/>
    <w:rsid w:val="00905F0B"/>
    <w:rsid w:val="00906189"/>
    <w:rsid w:val="009061C2"/>
    <w:rsid w:val="00906E92"/>
    <w:rsid w:val="009073C5"/>
    <w:rsid w:val="009123A2"/>
    <w:rsid w:val="00914B71"/>
    <w:rsid w:val="009159B6"/>
    <w:rsid w:val="00915E52"/>
    <w:rsid w:val="0091645F"/>
    <w:rsid w:val="00917CDF"/>
    <w:rsid w:val="00920158"/>
    <w:rsid w:val="00921429"/>
    <w:rsid w:val="00923ED0"/>
    <w:rsid w:val="00925CFF"/>
    <w:rsid w:val="00926D07"/>
    <w:rsid w:val="009279C0"/>
    <w:rsid w:val="00927DE0"/>
    <w:rsid w:val="009315DC"/>
    <w:rsid w:val="009319A3"/>
    <w:rsid w:val="009321AE"/>
    <w:rsid w:val="0093278C"/>
    <w:rsid w:val="00934B3B"/>
    <w:rsid w:val="009369B0"/>
    <w:rsid w:val="00941236"/>
    <w:rsid w:val="00941D0B"/>
    <w:rsid w:val="00941D21"/>
    <w:rsid w:val="0094225A"/>
    <w:rsid w:val="00942B07"/>
    <w:rsid w:val="00944CA4"/>
    <w:rsid w:val="00944D5C"/>
    <w:rsid w:val="009460FC"/>
    <w:rsid w:val="009472AA"/>
    <w:rsid w:val="009473E2"/>
    <w:rsid w:val="009476FF"/>
    <w:rsid w:val="009512A2"/>
    <w:rsid w:val="00951579"/>
    <w:rsid w:val="00951679"/>
    <w:rsid w:val="00954143"/>
    <w:rsid w:val="00954337"/>
    <w:rsid w:val="00957304"/>
    <w:rsid w:val="009611EB"/>
    <w:rsid w:val="009619F0"/>
    <w:rsid w:val="0096459F"/>
    <w:rsid w:val="009646B2"/>
    <w:rsid w:val="00965E80"/>
    <w:rsid w:val="00967132"/>
    <w:rsid w:val="00967AE1"/>
    <w:rsid w:val="00967AE9"/>
    <w:rsid w:val="00967EB8"/>
    <w:rsid w:val="00972C8F"/>
    <w:rsid w:val="00972E14"/>
    <w:rsid w:val="00973C79"/>
    <w:rsid w:val="00974001"/>
    <w:rsid w:val="00974259"/>
    <w:rsid w:val="00975079"/>
    <w:rsid w:val="00975363"/>
    <w:rsid w:val="009771D5"/>
    <w:rsid w:val="00980BC3"/>
    <w:rsid w:val="0098106F"/>
    <w:rsid w:val="00981A0F"/>
    <w:rsid w:val="00981B03"/>
    <w:rsid w:val="00983E99"/>
    <w:rsid w:val="00984105"/>
    <w:rsid w:val="00985AD3"/>
    <w:rsid w:val="00986667"/>
    <w:rsid w:val="00986C6F"/>
    <w:rsid w:val="009872FE"/>
    <w:rsid w:val="009875F5"/>
    <w:rsid w:val="00991D54"/>
    <w:rsid w:val="00994951"/>
    <w:rsid w:val="00994C47"/>
    <w:rsid w:val="00995656"/>
    <w:rsid w:val="00996FBB"/>
    <w:rsid w:val="009A2318"/>
    <w:rsid w:val="009A4644"/>
    <w:rsid w:val="009A559F"/>
    <w:rsid w:val="009A5E68"/>
    <w:rsid w:val="009A62A9"/>
    <w:rsid w:val="009A72E7"/>
    <w:rsid w:val="009A79D2"/>
    <w:rsid w:val="009A7A19"/>
    <w:rsid w:val="009B0856"/>
    <w:rsid w:val="009B2266"/>
    <w:rsid w:val="009B27D6"/>
    <w:rsid w:val="009B2B2C"/>
    <w:rsid w:val="009B6738"/>
    <w:rsid w:val="009B753A"/>
    <w:rsid w:val="009B75E1"/>
    <w:rsid w:val="009C00C3"/>
    <w:rsid w:val="009C1378"/>
    <w:rsid w:val="009C288E"/>
    <w:rsid w:val="009C3E53"/>
    <w:rsid w:val="009C48DC"/>
    <w:rsid w:val="009C5E7F"/>
    <w:rsid w:val="009C5F37"/>
    <w:rsid w:val="009C5F75"/>
    <w:rsid w:val="009C6382"/>
    <w:rsid w:val="009C6D16"/>
    <w:rsid w:val="009C6E95"/>
    <w:rsid w:val="009C7A42"/>
    <w:rsid w:val="009D0552"/>
    <w:rsid w:val="009D0B32"/>
    <w:rsid w:val="009D1B9F"/>
    <w:rsid w:val="009D4FAB"/>
    <w:rsid w:val="009D6222"/>
    <w:rsid w:val="009D747B"/>
    <w:rsid w:val="009D7DF9"/>
    <w:rsid w:val="009E09DD"/>
    <w:rsid w:val="009E117B"/>
    <w:rsid w:val="009E1486"/>
    <w:rsid w:val="009E2188"/>
    <w:rsid w:val="009E29F2"/>
    <w:rsid w:val="009E7EED"/>
    <w:rsid w:val="009F07DB"/>
    <w:rsid w:val="009F1B50"/>
    <w:rsid w:val="009F49BD"/>
    <w:rsid w:val="009F4FCE"/>
    <w:rsid w:val="009F5E38"/>
    <w:rsid w:val="009F7956"/>
    <w:rsid w:val="009F7BB6"/>
    <w:rsid w:val="00A00615"/>
    <w:rsid w:val="00A00F8B"/>
    <w:rsid w:val="00A03299"/>
    <w:rsid w:val="00A03532"/>
    <w:rsid w:val="00A03B1B"/>
    <w:rsid w:val="00A03C7B"/>
    <w:rsid w:val="00A04386"/>
    <w:rsid w:val="00A06A4A"/>
    <w:rsid w:val="00A06DA1"/>
    <w:rsid w:val="00A10190"/>
    <w:rsid w:val="00A10239"/>
    <w:rsid w:val="00A102F1"/>
    <w:rsid w:val="00A10F02"/>
    <w:rsid w:val="00A110E7"/>
    <w:rsid w:val="00A125A2"/>
    <w:rsid w:val="00A128C4"/>
    <w:rsid w:val="00A14068"/>
    <w:rsid w:val="00A1422A"/>
    <w:rsid w:val="00A15DF7"/>
    <w:rsid w:val="00A16E5B"/>
    <w:rsid w:val="00A208F6"/>
    <w:rsid w:val="00A20902"/>
    <w:rsid w:val="00A23676"/>
    <w:rsid w:val="00A25682"/>
    <w:rsid w:val="00A25E72"/>
    <w:rsid w:val="00A27DA8"/>
    <w:rsid w:val="00A32612"/>
    <w:rsid w:val="00A3457C"/>
    <w:rsid w:val="00A3521A"/>
    <w:rsid w:val="00A35292"/>
    <w:rsid w:val="00A352B7"/>
    <w:rsid w:val="00A415EA"/>
    <w:rsid w:val="00A41ADD"/>
    <w:rsid w:val="00A42C0C"/>
    <w:rsid w:val="00A441C8"/>
    <w:rsid w:val="00A44ECE"/>
    <w:rsid w:val="00A455F2"/>
    <w:rsid w:val="00A45EB9"/>
    <w:rsid w:val="00A468AD"/>
    <w:rsid w:val="00A47AD3"/>
    <w:rsid w:val="00A50083"/>
    <w:rsid w:val="00A50EFC"/>
    <w:rsid w:val="00A51A67"/>
    <w:rsid w:val="00A51C85"/>
    <w:rsid w:val="00A547A3"/>
    <w:rsid w:val="00A55968"/>
    <w:rsid w:val="00A623B4"/>
    <w:rsid w:val="00A64EDC"/>
    <w:rsid w:val="00A66DFD"/>
    <w:rsid w:val="00A703B2"/>
    <w:rsid w:val="00A70DF1"/>
    <w:rsid w:val="00A71CD8"/>
    <w:rsid w:val="00A76636"/>
    <w:rsid w:val="00A76942"/>
    <w:rsid w:val="00A806A0"/>
    <w:rsid w:val="00A80BE0"/>
    <w:rsid w:val="00A813F8"/>
    <w:rsid w:val="00A81EA8"/>
    <w:rsid w:val="00A82845"/>
    <w:rsid w:val="00A830DF"/>
    <w:rsid w:val="00A83D18"/>
    <w:rsid w:val="00A83F36"/>
    <w:rsid w:val="00A85428"/>
    <w:rsid w:val="00A85724"/>
    <w:rsid w:val="00A9493A"/>
    <w:rsid w:val="00A94DFD"/>
    <w:rsid w:val="00A950D2"/>
    <w:rsid w:val="00A95D7B"/>
    <w:rsid w:val="00AA04C3"/>
    <w:rsid w:val="00AA4763"/>
    <w:rsid w:val="00AA5D31"/>
    <w:rsid w:val="00AA5EA5"/>
    <w:rsid w:val="00AA61BE"/>
    <w:rsid w:val="00AA6773"/>
    <w:rsid w:val="00AA67B7"/>
    <w:rsid w:val="00AA714B"/>
    <w:rsid w:val="00AB3C23"/>
    <w:rsid w:val="00AB62A0"/>
    <w:rsid w:val="00AC022C"/>
    <w:rsid w:val="00AC0424"/>
    <w:rsid w:val="00AC0B11"/>
    <w:rsid w:val="00AC147B"/>
    <w:rsid w:val="00AC15C7"/>
    <w:rsid w:val="00AC165F"/>
    <w:rsid w:val="00AC25B4"/>
    <w:rsid w:val="00AC4034"/>
    <w:rsid w:val="00AC4BD3"/>
    <w:rsid w:val="00AC7916"/>
    <w:rsid w:val="00AC7A77"/>
    <w:rsid w:val="00AD0266"/>
    <w:rsid w:val="00AD0BF8"/>
    <w:rsid w:val="00AD1C96"/>
    <w:rsid w:val="00AD3644"/>
    <w:rsid w:val="00AD3F02"/>
    <w:rsid w:val="00AD45D0"/>
    <w:rsid w:val="00AD67B2"/>
    <w:rsid w:val="00AD67F0"/>
    <w:rsid w:val="00AD79A4"/>
    <w:rsid w:val="00AD7FBA"/>
    <w:rsid w:val="00AE074A"/>
    <w:rsid w:val="00AE0AB7"/>
    <w:rsid w:val="00AE3E62"/>
    <w:rsid w:val="00AE4D92"/>
    <w:rsid w:val="00AE7575"/>
    <w:rsid w:val="00AF0166"/>
    <w:rsid w:val="00AF08EB"/>
    <w:rsid w:val="00AF137F"/>
    <w:rsid w:val="00AF2491"/>
    <w:rsid w:val="00AF4038"/>
    <w:rsid w:val="00AF4EF3"/>
    <w:rsid w:val="00AF7180"/>
    <w:rsid w:val="00AF7368"/>
    <w:rsid w:val="00B007B0"/>
    <w:rsid w:val="00B0419F"/>
    <w:rsid w:val="00B041DF"/>
    <w:rsid w:val="00B05C95"/>
    <w:rsid w:val="00B0669E"/>
    <w:rsid w:val="00B06B90"/>
    <w:rsid w:val="00B102E8"/>
    <w:rsid w:val="00B10C4D"/>
    <w:rsid w:val="00B12617"/>
    <w:rsid w:val="00B13BFF"/>
    <w:rsid w:val="00B14D7F"/>
    <w:rsid w:val="00B15076"/>
    <w:rsid w:val="00B20050"/>
    <w:rsid w:val="00B20C66"/>
    <w:rsid w:val="00B21120"/>
    <w:rsid w:val="00B21FF1"/>
    <w:rsid w:val="00B24448"/>
    <w:rsid w:val="00B24C41"/>
    <w:rsid w:val="00B2525C"/>
    <w:rsid w:val="00B31AFF"/>
    <w:rsid w:val="00B32617"/>
    <w:rsid w:val="00B328A1"/>
    <w:rsid w:val="00B3399E"/>
    <w:rsid w:val="00B34560"/>
    <w:rsid w:val="00B34F5A"/>
    <w:rsid w:val="00B35898"/>
    <w:rsid w:val="00B40BA2"/>
    <w:rsid w:val="00B427DA"/>
    <w:rsid w:val="00B42D8D"/>
    <w:rsid w:val="00B43A7C"/>
    <w:rsid w:val="00B4432F"/>
    <w:rsid w:val="00B44A53"/>
    <w:rsid w:val="00B45454"/>
    <w:rsid w:val="00B4553E"/>
    <w:rsid w:val="00B4738F"/>
    <w:rsid w:val="00B55BD7"/>
    <w:rsid w:val="00B56D30"/>
    <w:rsid w:val="00B61E20"/>
    <w:rsid w:val="00B629E0"/>
    <w:rsid w:val="00B632A5"/>
    <w:rsid w:val="00B6348D"/>
    <w:rsid w:val="00B64AD1"/>
    <w:rsid w:val="00B653C4"/>
    <w:rsid w:val="00B6609E"/>
    <w:rsid w:val="00B668C8"/>
    <w:rsid w:val="00B67DD4"/>
    <w:rsid w:val="00B70622"/>
    <w:rsid w:val="00B70838"/>
    <w:rsid w:val="00B71262"/>
    <w:rsid w:val="00B71BEB"/>
    <w:rsid w:val="00B75706"/>
    <w:rsid w:val="00B75E2C"/>
    <w:rsid w:val="00B76EE3"/>
    <w:rsid w:val="00B77C79"/>
    <w:rsid w:val="00B77DF7"/>
    <w:rsid w:val="00B82311"/>
    <w:rsid w:val="00B82B3E"/>
    <w:rsid w:val="00B8358F"/>
    <w:rsid w:val="00B83D84"/>
    <w:rsid w:val="00B852F8"/>
    <w:rsid w:val="00B862B1"/>
    <w:rsid w:val="00B8759D"/>
    <w:rsid w:val="00B90455"/>
    <w:rsid w:val="00B90691"/>
    <w:rsid w:val="00B90956"/>
    <w:rsid w:val="00B9198C"/>
    <w:rsid w:val="00B9463A"/>
    <w:rsid w:val="00B9582A"/>
    <w:rsid w:val="00B96923"/>
    <w:rsid w:val="00BA33AF"/>
    <w:rsid w:val="00BA4258"/>
    <w:rsid w:val="00BA4B17"/>
    <w:rsid w:val="00BA6449"/>
    <w:rsid w:val="00BA6DF0"/>
    <w:rsid w:val="00BB0F38"/>
    <w:rsid w:val="00BB1680"/>
    <w:rsid w:val="00BB2F3B"/>
    <w:rsid w:val="00BB4052"/>
    <w:rsid w:val="00BB6C4A"/>
    <w:rsid w:val="00BB77C6"/>
    <w:rsid w:val="00BB783D"/>
    <w:rsid w:val="00BC0C8D"/>
    <w:rsid w:val="00BC0D87"/>
    <w:rsid w:val="00BC1BE9"/>
    <w:rsid w:val="00BC2279"/>
    <w:rsid w:val="00BC25DD"/>
    <w:rsid w:val="00BC5190"/>
    <w:rsid w:val="00BC61EB"/>
    <w:rsid w:val="00BC68F4"/>
    <w:rsid w:val="00BC7E29"/>
    <w:rsid w:val="00BD0212"/>
    <w:rsid w:val="00BD21A4"/>
    <w:rsid w:val="00BD3062"/>
    <w:rsid w:val="00BD3EA3"/>
    <w:rsid w:val="00BD52E8"/>
    <w:rsid w:val="00BD7E1A"/>
    <w:rsid w:val="00BE15AB"/>
    <w:rsid w:val="00BE18C6"/>
    <w:rsid w:val="00BE283A"/>
    <w:rsid w:val="00BE2CE2"/>
    <w:rsid w:val="00BE4A07"/>
    <w:rsid w:val="00BE70E5"/>
    <w:rsid w:val="00BE71EC"/>
    <w:rsid w:val="00BE7F7B"/>
    <w:rsid w:val="00BF1A2B"/>
    <w:rsid w:val="00BF5095"/>
    <w:rsid w:val="00BF5151"/>
    <w:rsid w:val="00BF64BD"/>
    <w:rsid w:val="00BF70BE"/>
    <w:rsid w:val="00BF7298"/>
    <w:rsid w:val="00BF784C"/>
    <w:rsid w:val="00C034D5"/>
    <w:rsid w:val="00C0362F"/>
    <w:rsid w:val="00C038D0"/>
    <w:rsid w:val="00C050AB"/>
    <w:rsid w:val="00C06111"/>
    <w:rsid w:val="00C065F7"/>
    <w:rsid w:val="00C0747B"/>
    <w:rsid w:val="00C11448"/>
    <w:rsid w:val="00C14257"/>
    <w:rsid w:val="00C14D59"/>
    <w:rsid w:val="00C15314"/>
    <w:rsid w:val="00C16519"/>
    <w:rsid w:val="00C20258"/>
    <w:rsid w:val="00C21F98"/>
    <w:rsid w:val="00C22180"/>
    <w:rsid w:val="00C22364"/>
    <w:rsid w:val="00C228C8"/>
    <w:rsid w:val="00C23146"/>
    <w:rsid w:val="00C25141"/>
    <w:rsid w:val="00C26593"/>
    <w:rsid w:val="00C27029"/>
    <w:rsid w:val="00C273F8"/>
    <w:rsid w:val="00C3225D"/>
    <w:rsid w:val="00C330E8"/>
    <w:rsid w:val="00C3344C"/>
    <w:rsid w:val="00C34B90"/>
    <w:rsid w:val="00C34E66"/>
    <w:rsid w:val="00C353AE"/>
    <w:rsid w:val="00C36A8D"/>
    <w:rsid w:val="00C37A26"/>
    <w:rsid w:val="00C40845"/>
    <w:rsid w:val="00C441DC"/>
    <w:rsid w:val="00C44F3D"/>
    <w:rsid w:val="00C465EE"/>
    <w:rsid w:val="00C4698C"/>
    <w:rsid w:val="00C46B15"/>
    <w:rsid w:val="00C470A1"/>
    <w:rsid w:val="00C47195"/>
    <w:rsid w:val="00C47489"/>
    <w:rsid w:val="00C50D89"/>
    <w:rsid w:val="00C51B9A"/>
    <w:rsid w:val="00C535EB"/>
    <w:rsid w:val="00C552C0"/>
    <w:rsid w:val="00C555CC"/>
    <w:rsid w:val="00C56505"/>
    <w:rsid w:val="00C574D0"/>
    <w:rsid w:val="00C57F3C"/>
    <w:rsid w:val="00C60310"/>
    <w:rsid w:val="00C61A71"/>
    <w:rsid w:val="00C61E8B"/>
    <w:rsid w:val="00C62550"/>
    <w:rsid w:val="00C63738"/>
    <w:rsid w:val="00C637C5"/>
    <w:rsid w:val="00C642A0"/>
    <w:rsid w:val="00C650D3"/>
    <w:rsid w:val="00C6765C"/>
    <w:rsid w:val="00C677E3"/>
    <w:rsid w:val="00C70729"/>
    <w:rsid w:val="00C7108A"/>
    <w:rsid w:val="00C71278"/>
    <w:rsid w:val="00C729B2"/>
    <w:rsid w:val="00C73033"/>
    <w:rsid w:val="00C73D3F"/>
    <w:rsid w:val="00C746C7"/>
    <w:rsid w:val="00C74CE1"/>
    <w:rsid w:val="00C74F65"/>
    <w:rsid w:val="00C77811"/>
    <w:rsid w:val="00C80823"/>
    <w:rsid w:val="00C80FBA"/>
    <w:rsid w:val="00C81FF5"/>
    <w:rsid w:val="00C82B50"/>
    <w:rsid w:val="00C8511A"/>
    <w:rsid w:val="00C8555E"/>
    <w:rsid w:val="00C86D1A"/>
    <w:rsid w:val="00C9062E"/>
    <w:rsid w:val="00C917B3"/>
    <w:rsid w:val="00C92FCE"/>
    <w:rsid w:val="00C9384E"/>
    <w:rsid w:val="00C95715"/>
    <w:rsid w:val="00C96965"/>
    <w:rsid w:val="00C97052"/>
    <w:rsid w:val="00C9731E"/>
    <w:rsid w:val="00C97E2D"/>
    <w:rsid w:val="00CA0412"/>
    <w:rsid w:val="00CA0623"/>
    <w:rsid w:val="00CA11A9"/>
    <w:rsid w:val="00CA1A2A"/>
    <w:rsid w:val="00CA2668"/>
    <w:rsid w:val="00CA2E1C"/>
    <w:rsid w:val="00CA41B3"/>
    <w:rsid w:val="00CA47DB"/>
    <w:rsid w:val="00CA4C95"/>
    <w:rsid w:val="00CA5119"/>
    <w:rsid w:val="00CA72FA"/>
    <w:rsid w:val="00CB12B6"/>
    <w:rsid w:val="00CB1FCF"/>
    <w:rsid w:val="00CB262D"/>
    <w:rsid w:val="00CB3547"/>
    <w:rsid w:val="00CB62D9"/>
    <w:rsid w:val="00CB6B49"/>
    <w:rsid w:val="00CB732E"/>
    <w:rsid w:val="00CB77ED"/>
    <w:rsid w:val="00CB79BD"/>
    <w:rsid w:val="00CC0DD8"/>
    <w:rsid w:val="00CC1109"/>
    <w:rsid w:val="00CC1291"/>
    <w:rsid w:val="00CC1F19"/>
    <w:rsid w:val="00CC4023"/>
    <w:rsid w:val="00CC638F"/>
    <w:rsid w:val="00CC773C"/>
    <w:rsid w:val="00CC7CF6"/>
    <w:rsid w:val="00CD1107"/>
    <w:rsid w:val="00CD164A"/>
    <w:rsid w:val="00CD29B5"/>
    <w:rsid w:val="00CE05E5"/>
    <w:rsid w:val="00CE1B7B"/>
    <w:rsid w:val="00CE3144"/>
    <w:rsid w:val="00CE3263"/>
    <w:rsid w:val="00CE5613"/>
    <w:rsid w:val="00CE570E"/>
    <w:rsid w:val="00CE5D60"/>
    <w:rsid w:val="00CF08F5"/>
    <w:rsid w:val="00CF2016"/>
    <w:rsid w:val="00CF55E7"/>
    <w:rsid w:val="00CF64DB"/>
    <w:rsid w:val="00CF7CDE"/>
    <w:rsid w:val="00D01100"/>
    <w:rsid w:val="00D01D8B"/>
    <w:rsid w:val="00D027B7"/>
    <w:rsid w:val="00D0435A"/>
    <w:rsid w:val="00D04702"/>
    <w:rsid w:val="00D04CB3"/>
    <w:rsid w:val="00D06EFD"/>
    <w:rsid w:val="00D07B63"/>
    <w:rsid w:val="00D07F34"/>
    <w:rsid w:val="00D119CA"/>
    <w:rsid w:val="00D1351C"/>
    <w:rsid w:val="00D137A6"/>
    <w:rsid w:val="00D138CA"/>
    <w:rsid w:val="00D1492C"/>
    <w:rsid w:val="00D14DEA"/>
    <w:rsid w:val="00D17F73"/>
    <w:rsid w:val="00D21234"/>
    <w:rsid w:val="00D22055"/>
    <w:rsid w:val="00D22146"/>
    <w:rsid w:val="00D22B1F"/>
    <w:rsid w:val="00D24B7C"/>
    <w:rsid w:val="00D24BA0"/>
    <w:rsid w:val="00D252DB"/>
    <w:rsid w:val="00D25C0D"/>
    <w:rsid w:val="00D25D77"/>
    <w:rsid w:val="00D26D06"/>
    <w:rsid w:val="00D34FF8"/>
    <w:rsid w:val="00D35027"/>
    <w:rsid w:val="00D35255"/>
    <w:rsid w:val="00D35708"/>
    <w:rsid w:val="00D35844"/>
    <w:rsid w:val="00D40C0C"/>
    <w:rsid w:val="00D40FB9"/>
    <w:rsid w:val="00D4232D"/>
    <w:rsid w:val="00D44AF8"/>
    <w:rsid w:val="00D44DFC"/>
    <w:rsid w:val="00D50398"/>
    <w:rsid w:val="00D52CB6"/>
    <w:rsid w:val="00D55539"/>
    <w:rsid w:val="00D5574E"/>
    <w:rsid w:val="00D55BB8"/>
    <w:rsid w:val="00D56E59"/>
    <w:rsid w:val="00D60B26"/>
    <w:rsid w:val="00D615F8"/>
    <w:rsid w:val="00D63AE0"/>
    <w:rsid w:val="00D655FB"/>
    <w:rsid w:val="00D65BB7"/>
    <w:rsid w:val="00D66001"/>
    <w:rsid w:val="00D67570"/>
    <w:rsid w:val="00D7163A"/>
    <w:rsid w:val="00D723A7"/>
    <w:rsid w:val="00D72D09"/>
    <w:rsid w:val="00D7420A"/>
    <w:rsid w:val="00D77194"/>
    <w:rsid w:val="00D77D66"/>
    <w:rsid w:val="00D80836"/>
    <w:rsid w:val="00D80A47"/>
    <w:rsid w:val="00D80A6D"/>
    <w:rsid w:val="00D825E3"/>
    <w:rsid w:val="00D830F5"/>
    <w:rsid w:val="00D833B0"/>
    <w:rsid w:val="00D84B80"/>
    <w:rsid w:val="00D85CBB"/>
    <w:rsid w:val="00D85EDF"/>
    <w:rsid w:val="00D86571"/>
    <w:rsid w:val="00D86CFA"/>
    <w:rsid w:val="00D87AA2"/>
    <w:rsid w:val="00D92319"/>
    <w:rsid w:val="00D92A56"/>
    <w:rsid w:val="00D9335C"/>
    <w:rsid w:val="00D93DFB"/>
    <w:rsid w:val="00D95215"/>
    <w:rsid w:val="00D958C9"/>
    <w:rsid w:val="00D97E48"/>
    <w:rsid w:val="00DA17D1"/>
    <w:rsid w:val="00DA2330"/>
    <w:rsid w:val="00DA5808"/>
    <w:rsid w:val="00DA78A8"/>
    <w:rsid w:val="00DB0A7C"/>
    <w:rsid w:val="00DB3095"/>
    <w:rsid w:val="00DB451E"/>
    <w:rsid w:val="00DB4B42"/>
    <w:rsid w:val="00DB4E1E"/>
    <w:rsid w:val="00DB4E54"/>
    <w:rsid w:val="00DB6336"/>
    <w:rsid w:val="00DB662C"/>
    <w:rsid w:val="00DB6D1C"/>
    <w:rsid w:val="00DB79FC"/>
    <w:rsid w:val="00DB7BED"/>
    <w:rsid w:val="00DB7C09"/>
    <w:rsid w:val="00DC0DC9"/>
    <w:rsid w:val="00DC1030"/>
    <w:rsid w:val="00DC1219"/>
    <w:rsid w:val="00DC1A5E"/>
    <w:rsid w:val="00DC2046"/>
    <w:rsid w:val="00DC27BE"/>
    <w:rsid w:val="00DC3143"/>
    <w:rsid w:val="00DC32D7"/>
    <w:rsid w:val="00DC3927"/>
    <w:rsid w:val="00DC4859"/>
    <w:rsid w:val="00DC6268"/>
    <w:rsid w:val="00DC76D9"/>
    <w:rsid w:val="00DC7737"/>
    <w:rsid w:val="00DC7969"/>
    <w:rsid w:val="00DD0C68"/>
    <w:rsid w:val="00DD1242"/>
    <w:rsid w:val="00DD1482"/>
    <w:rsid w:val="00DD169B"/>
    <w:rsid w:val="00DD2CF1"/>
    <w:rsid w:val="00DD2FA6"/>
    <w:rsid w:val="00DD3892"/>
    <w:rsid w:val="00DD5698"/>
    <w:rsid w:val="00DD58EA"/>
    <w:rsid w:val="00DD5A49"/>
    <w:rsid w:val="00DD74A7"/>
    <w:rsid w:val="00DE0B14"/>
    <w:rsid w:val="00DE1CF9"/>
    <w:rsid w:val="00DE1FFD"/>
    <w:rsid w:val="00DE2028"/>
    <w:rsid w:val="00DE34B1"/>
    <w:rsid w:val="00DE444C"/>
    <w:rsid w:val="00DF075B"/>
    <w:rsid w:val="00DF1D05"/>
    <w:rsid w:val="00DF21A4"/>
    <w:rsid w:val="00DF63D5"/>
    <w:rsid w:val="00DF6763"/>
    <w:rsid w:val="00E000BD"/>
    <w:rsid w:val="00E029E6"/>
    <w:rsid w:val="00E051B9"/>
    <w:rsid w:val="00E0596C"/>
    <w:rsid w:val="00E05C15"/>
    <w:rsid w:val="00E06830"/>
    <w:rsid w:val="00E07BE1"/>
    <w:rsid w:val="00E10FBD"/>
    <w:rsid w:val="00E12516"/>
    <w:rsid w:val="00E140F0"/>
    <w:rsid w:val="00E142CE"/>
    <w:rsid w:val="00E145FF"/>
    <w:rsid w:val="00E149A7"/>
    <w:rsid w:val="00E159F8"/>
    <w:rsid w:val="00E2336C"/>
    <w:rsid w:val="00E2589A"/>
    <w:rsid w:val="00E25CC3"/>
    <w:rsid w:val="00E327DC"/>
    <w:rsid w:val="00E376E5"/>
    <w:rsid w:val="00E405CE"/>
    <w:rsid w:val="00E410E6"/>
    <w:rsid w:val="00E414B7"/>
    <w:rsid w:val="00E43D0B"/>
    <w:rsid w:val="00E44062"/>
    <w:rsid w:val="00E44E40"/>
    <w:rsid w:val="00E46668"/>
    <w:rsid w:val="00E509FC"/>
    <w:rsid w:val="00E50D3F"/>
    <w:rsid w:val="00E50F86"/>
    <w:rsid w:val="00E51B5A"/>
    <w:rsid w:val="00E52767"/>
    <w:rsid w:val="00E54899"/>
    <w:rsid w:val="00E55DE5"/>
    <w:rsid w:val="00E576EC"/>
    <w:rsid w:val="00E60B38"/>
    <w:rsid w:val="00E61F99"/>
    <w:rsid w:val="00E6267E"/>
    <w:rsid w:val="00E62935"/>
    <w:rsid w:val="00E632AD"/>
    <w:rsid w:val="00E637ED"/>
    <w:rsid w:val="00E640EA"/>
    <w:rsid w:val="00E65171"/>
    <w:rsid w:val="00E6687C"/>
    <w:rsid w:val="00E67D1C"/>
    <w:rsid w:val="00E70422"/>
    <w:rsid w:val="00E70F5D"/>
    <w:rsid w:val="00E710E0"/>
    <w:rsid w:val="00E717A5"/>
    <w:rsid w:val="00E72DA8"/>
    <w:rsid w:val="00E72F3C"/>
    <w:rsid w:val="00E72FCD"/>
    <w:rsid w:val="00E747C6"/>
    <w:rsid w:val="00E75150"/>
    <w:rsid w:val="00E771BF"/>
    <w:rsid w:val="00E77EA4"/>
    <w:rsid w:val="00E80060"/>
    <w:rsid w:val="00E83CD1"/>
    <w:rsid w:val="00E85F37"/>
    <w:rsid w:val="00E8692C"/>
    <w:rsid w:val="00E86FBE"/>
    <w:rsid w:val="00E90659"/>
    <w:rsid w:val="00E90ECD"/>
    <w:rsid w:val="00E9204E"/>
    <w:rsid w:val="00E93E46"/>
    <w:rsid w:val="00E94508"/>
    <w:rsid w:val="00E949C7"/>
    <w:rsid w:val="00E95B7D"/>
    <w:rsid w:val="00E96178"/>
    <w:rsid w:val="00EA0A35"/>
    <w:rsid w:val="00EA23E5"/>
    <w:rsid w:val="00EA25B7"/>
    <w:rsid w:val="00EA3589"/>
    <w:rsid w:val="00EA4C09"/>
    <w:rsid w:val="00EA69F8"/>
    <w:rsid w:val="00EA6F6A"/>
    <w:rsid w:val="00EA70F3"/>
    <w:rsid w:val="00EA7647"/>
    <w:rsid w:val="00EB0EEB"/>
    <w:rsid w:val="00EB1297"/>
    <w:rsid w:val="00EB2931"/>
    <w:rsid w:val="00EB4021"/>
    <w:rsid w:val="00EB56A1"/>
    <w:rsid w:val="00EB66D8"/>
    <w:rsid w:val="00EB7CC2"/>
    <w:rsid w:val="00EC21E0"/>
    <w:rsid w:val="00EC2C8A"/>
    <w:rsid w:val="00EC7E7C"/>
    <w:rsid w:val="00ED0091"/>
    <w:rsid w:val="00ED1ABB"/>
    <w:rsid w:val="00ED60D5"/>
    <w:rsid w:val="00ED652A"/>
    <w:rsid w:val="00EE0EF3"/>
    <w:rsid w:val="00EE0F06"/>
    <w:rsid w:val="00EE162F"/>
    <w:rsid w:val="00EE1E8D"/>
    <w:rsid w:val="00EE210A"/>
    <w:rsid w:val="00EE253E"/>
    <w:rsid w:val="00EE2B4D"/>
    <w:rsid w:val="00EE2BD8"/>
    <w:rsid w:val="00EE3ACB"/>
    <w:rsid w:val="00EE5196"/>
    <w:rsid w:val="00EE524B"/>
    <w:rsid w:val="00EE52FF"/>
    <w:rsid w:val="00EE65E5"/>
    <w:rsid w:val="00EF4CF6"/>
    <w:rsid w:val="00EF6457"/>
    <w:rsid w:val="00EF66F1"/>
    <w:rsid w:val="00EF677C"/>
    <w:rsid w:val="00F00AF4"/>
    <w:rsid w:val="00F02475"/>
    <w:rsid w:val="00F02EBD"/>
    <w:rsid w:val="00F04325"/>
    <w:rsid w:val="00F059A9"/>
    <w:rsid w:val="00F06152"/>
    <w:rsid w:val="00F1023D"/>
    <w:rsid w:val="00F15689"/>
    <w:rsid w:val="00F17131"/>
    <w:rsid w:val="00F17FEA"/>
    <w:rsid w:val="00F20F8F"/>
    <w:rsid w:val="00F23376"/>
    <w:rsid w:val="00F249BA"/>
    <w:rsid w:val="00F24E6D"/>
    <w:rsid w:val="00F25467"/>
    <w:rsid w:val="00F256C6"/>
    <w:rsid w:val="00F3069F"/>
    <w:rsid w:val="00F3171C"/>
    <w:rsid w:val="00F322FC"/>
    <w:rsid w:val="00F342D4"/>
    <w:rsid w:val="00F3487F"/>
    <w:rsid w:val="00F34D60"/>
    <w:rsid w:val="00F35AF2"/>
    <w:rsid w:val="00F35B39"/>
    <w:rsid w:val="00F35BF6"/>
    <w:rsid w:val="00F37FE1"/>
    <w:rsid w:val="00F41529"/>
    <w:rsid w:val="00F41754"/>
    <w:rsid w:val="00F41954"/>
    <w:rsid w:val="00F41F4B"/>
    <w:rsid w:val="00F4214E"/>
    <w:rsid w:val="00F4267B"/>
    <w:rsid w:val="00F42979"/>
    <w:rsid w:val="00F42AA7"/>
    <w:rsid w:val="00F42C45"/>
    <w:rsid w:val="00F4449C"/>
    <w:rsid w:val="00F45D94"/>
    <w:rsid w:val="00F476F7"/>
    <w:rsid w:val="00F51814"/>
    <w:rsid w:val="00F53026"/>
    <w:rsid w:val="00F5348C"/>
    <w:rsid w:val="00F539C6"/>
    <w:rsid w:val="00F543FE"/>
    <w:rsid w:val="00F57BDB"/>
    <w:rsid w:val="00F605BE"/>
    <w:rsid w:val="00F60B4D"/>
    <w:rsid w:val="00F611A8"/>
    <w:rsid w:val="00F62DD4"/>
    <w:rsid w:val="00F634C9"/>
    <w:rsid w:val="00F635CD"/>
    <w:rsid w:val="00F643DF"/>
    <w:rsid w:val="00F657C5"/>
    <w:rsid w:val="00F65840"/>
    <w:rsid w:val="00F659FC"/>
    <w:rsid w:val="00F669F9"/>
    <w:rsid w:val="00F66E3F"/>
    <w:rsid w:val="00F67533"/>
    <w:rsid w:val="00F6796F"/>
    <w:rsid w:val="00F71A0B"/>
    <w:rsid w:val="00F71D2C"/>
    <w:rsid w:val="00F727A8"/>
    <w:rsid w:val="00F7316E"/>
    <w:rsid w:val="00F7330C"/>
    <w:rsid w:val="00F760EA"/>
    <w:rsid w:val="00F765F8"/>
    <w:rsid w:val="00F77DBE"/>
    <w:rsid w:val="00F800F0"/>
    <w:rsid w:val="00F8146B"/>
    <w:rsid w:val="00F8356A"/>
    <w:rsid w:val="00F83623"/>
    <w:rsid w:val="00F83751"/>
    <w:rsid w:val="00F83F3F"/>
    <w:rsid w:val="00F83F6F"/>
    <w:rsid w:val="00F84B95"/>
    <w:rsid w:val="00F8682A"/>
    <w:rsid w:val="00F86BC6"/>
    <w:rsid w:val="00F87202"/>
    <w:rsid w:val="00F90F60"/>
    <w:rsid w:val="00F9230B"/>
    <w:rsid w:val="00F934B1"/>
    <w:rsid w:val="00F935FF"/>
    <w:rsid w:val="00F95319"/>
    <w:rsid w:val="00F961F2"/>
    <w:rsid w:val="00F963A8"/>
    <w:rsid w:val="00F97A15"/>
    <w:rsid w:val="00FA16A0"/>
    <w:rsid w:val="00FA1888"/>
    <w:rsid w:val="00FA1961"/>
    <w:rsid w:val="00FA1F98"/>
    <w:rsid w:val="00FA3252"/>
    <w:rsid w:val="00FA4420"/>
    <w:rsid w:val="00FA4D07"/>
    <w:rsid w:val="00FA582C"/>
    <w:rsid w:val="00FA5AAC"/>
    <w:rsid w:val="00FA665C"/>
    <w:rsid w:val="00FA6EBF"/>
    <w:rsid w:val="00FA7E65"/>
    <w:rsid w:val="00FB0B10"/>
    <w:rsid w:val="00FB1A7D"/>
    <w:rsid w:val="00FB2EB6"/>
    <w:rsid w:val="00FB3EDE"/>
    <w:rsid w:val="00FB6F3A"/>
    <w:rsid w:val="00FC1BB7"/>
    <w:rsid w:val="00FC1BEE"/>
    <w:rsid w:val="00FC26CF"/>
    <w:rsid w:val="00FC2E91"/>
    <w:rsid w:val="00FC3D22"/>
    <w:rsid w:val="00FC4372"/>
    <w:rsid w:val="00FC6662"/>
    <w:rsid w:val="00FC6D2A"/>
    <w:rsid w:val="00FC6D5D"/>
    <w:rsid w:val="00FD2493"/>
    <w:rsid w:val="00FD54FE"/>
    <w:rsid w:val="00FE0F18"/>
    <w:rsid w:val="00FE12FB"/>
    <w:rsid w:val="00FE2274"/>
    <w:rsid w:val="00FE32D7"/>
    <w:rsid w:val="00FE4826"/>
    <w:rsid w:val="00FE4AE0"/>
    <w:rsid w:val="00FE5D69"/>
    <w:rsid w:val="00FE628E"/>
    <w:rsid w:val="00FF0267"/>
    <w:rsid w:val="00FF050F"/>
    <w:rsid w:val="00FF29BC"/>
    <w:rsid w:val="00FF2B78"/>
    <w:rsid w:val="00FF2C3F"/>
    <w:rsid w:val="00FF40CD"/>
    <w:rsid w:val="00FF47ED"/>
    <w:rsid w:val="00FF56BA"/>
    <w:rsid w:val="034A17E8"/>
    <w:rsid w:val="035620E3"/>
    <w:rsid w:val="03736DEB"/>
    <w:rsid w:val="052D46C2"/>
    <w:rsid w:val="063B6857"/>
    <w:rsid w:val="067125C2"/>
    <w:rsid w:val="07186963"/>
    <w:rsid w:val="0836262D"/>
    <w:rsid w:val="084859DC"/>
    <w:rsid w:val="09AF1E65"/>
    <w:rsid w:val="09F83049"/>
    <w:rsid w:val="0BCC1D85"/>
    <w:rsid w:val="0E1F6B09"/>
    <w:rsid w:val="0EE43369"/>
    <w:rsid w:val="0F053294"/>
    <w:rsid w:val="0F57410F"/>
    <w:rsid w:val="0FA93ED9"/>
    <w:rsid w:val="11102B85"/>
    <w:rsid w:val="12446E45"/>
    <w:rsid w:val="125E21F0"/>
    <w:rsid w:val="12830506"/>
    <w:rsid w:val="12DB6B46"/>
    <w:rsid w:val="134C0F2D"/>
    <w:rsid w:val="13531754"/>
    <w:rsid w:val="1365788C"/>
    <w:rsid w:val="142D3736"/>
    <w:rsid w:val="14B27F96"/>
    <w:rsid w:val="150857FF"/>
    <w:rsid w:val="160052C3"/>
    <w:rsid w:val="162E5B68"/>
    <w:rsid w:val="16316AC1"/>
    <w:rsid w:val="16BF5313"/>
    <w:rsid w:val="199F1547"/>
    <w:rsid w:val="19BA59C6"/>
    <w:rsid w:val="1A0A1A48"/>
    <w:rsid w:val="1AC45C2A"/>
    <w:rsid w:val="1B950C9D"/>
    <w:rsid w:val="1BB04ED2"/>
    <w:rsid w:val="1BEA631B"/>
    <w:rsid w:val="1D41232B"/>
    <w:rsid w:val="1DBB2BD0"/>
    <w:rsid w:val="2059673D"/>
    <w:rsid w:val="20F019BD"/>
    <w:rsid w:val="21AC7029"/>
    <w:rsid w:val="22724B1A"/>
    <w:rsid w:val="23C54A89"/>
    <w:rsid w:val="249662EB"/>
    <w:rsid w:val="24C26241"/>
    <w:rsid w:val="251F5977"/>
    <w:rsid w:val="25C83D3C"/>
    <w:rsid w:val="25E24943"/>
    <w:rsid w:val="262D55D4"/>
    <w:rsid w:val="28C52BC1"/>
    <w:rsid w:val="298E0E51"/>
    <w:rsid w:val="2A472ABA"/>
    <w:rsid w:val="2A6666FB"/>
    <w:rsid w:val="2AF658EB"/>
    <w:rsid w:val="2B9E594C"/>
    <w:rsid w:val="2BEE769B"/>
    <w:rsid w:val="2CD94F5A"/>
    <w:rsid w:val="2D6C32C4"/>
    <w:rsid w:val="2E0D559A"/>
    <w:rsid w:val="2F974F60"/>
    <w:rsid w:val="2FB86CD8"/>
    <w:rsid w:val="33446DD8"/>
    <w:rsid w:val="337D54D8"/>
    <w:rsid w:val="338B380A"/>
    <w:rsid w:val="345C43DC"/>
    <w:rsid w:val="356C0266"/>
    <w:rsid w:val="36110972"/>
    <w:rsid w:val="36D02B02"/>
    <w:rsid w:val="36EB4774"/>
    <w:rsid w:val="375F222D"/>
    <w:rsid w:val="38697445"/>
    <w:rsid w:val="39100152"/>
    <w:rsid w:val="3A770187"/>
    <w:rsid w:val="3AD900A5"/>
    <w:rsid w:val="3B8D1AA4"/>
    <w:rsid w:val="3CE72357"/>
    <w:rsid w:val="3CF91CEC"/>
    <w:rsid w:val="3D6E1F42"/>
    <w:rsid w:val="3EC73E23"/>
    <w:rsid w:val="3F060A5B"/>
    <w:rsid w:val="3F665DFC"/>
    <w:rsid w:val="3FFB4CC3"/>
    <w:rsid w:val="402D5DC0"/>
    <w:rsid w:val="4177386C"/>
    <w:rsid w:val="42040535"/>
    <w:rsid w:val="426D6177"/>
    <w:rsid w:val="42C21574"/>
    <w:rsid w:val="43954A4B"/>
    <w:rsid w:val="44014757"/>
    <w:rsid w:val="440F5EBA"/>
    <w:rsid w:val="44D22DC9"/>
    <w:rsid w:val="46241963"/>
    <w:rsid w:val="467C6356"/>
    <w:rsid w:val="46DC3EF2"/>
    <w:rsid w:val="478619C6"/>
    <w:rsid w:val="479F67C6"/>
    <w:rsid w:val="47AB5B3F"/>
    <w:rsid w:val="47DA417B"/>
    <w:rsid w:val="47E02D34"/>
    <w:rsid w:val="48E72660"/>
    <w:rsid w:val="4C985108"/>
    <w:rsid w:val="4CD4071C"/>
    <w:rsid w:val="4D0377E2"/>
    <w:rsid w:val="4D5C7EB5"/>
    <w:rsid w:val="4DAC1A4D"/>
    <w:rsid w:val="4DC66BE6"/>
    <w:rsid w:val="4F1A7856"/>
    <w:rsid w:val="4F982B4E"/>
    <w:rsid w:val="4FE22340"/>
    <w:rsid w:val="50314234"/>
    <w:rsid w:val="50564D46"/>
    <w:rsid w:val="50DF55B6"/>
    <w:rsid w:val="531544E2"/>
    <w:rsid w:val="533A4B08"/>
    <w:rsid w:val="543213BA"/>
    <w:rsid w:val="56BE59F8"/>
    <w:rsid w:val="56D82B3B"/>
    <w:rsid w:val="5A5202B4"/>
    <w:rsid w:val="5A99413C"/>
    <w:rsid w:val="5AB7302B"/>
    <w:rsid w:val="5B305ABA"/>
    <w:rsid w:val="5B832F1E"/>
    <w:rsid w:val="5BC73EC0"/>
    <w:rsid w:val="5C017522"/>
    <w:rsid w:val="5CDA217D"/>
    <w:rsid w:val="5CFD4E1B"/>
    <w:rsid w:val="5D5534EC"/>
    <w:rsid w:val="5EED3DBB"/>
    <w:rsid w:val="5FCD5990"/>
    <w:rsid w:val="60354FF0"/>
    <w:rsid w:val="6192403F"/>
    <w:rsid w:val="62CB184B"/>
    <w:rsid w:val="62F80177"/>
    <w:rsid w:val="63745F55"/>
    <w:rsid w:val="64753107"/>
    <w:rsid w:val="6529188A"/>
    <w:rsid w:val="656D119F"/>
    <w:rsid w:val="671506B9"/>
    <w:rsid w:val="68512067"/>
    <w:rsid w:val="6861521D"/>
    <w:rsid w:val="689D1AEC"/>
    <w:rsid w:val="68C37F17"/>
    <w:rsid w:val="6A187E00"/>
    <w:rsid w:val="6A945C65"/>
    <w:rsid w:val="6AB56111"/>
    <w:rsid w:val="6ABC136F"/>
    <w:rsid w:val="6EB37EB4"/>
    <w:rsid w:val="6ECF6512"/>
    <w:rsid w:val="6F3F2AED"/>
    <w:rsid w:val="71973284"/>
    <w:rsid w:val="71AD344C"/>
    <w:rsid w:val="71CC1122"/>
    <w:rsid w:val="724A5678"/>
    <w:rsid w:val="73DE59DE"/>
    <w:rsid w:val="74050006"/>
    <w:rsid w:val="7A5213A8"/>
    <w:rsid w:val="7A564D48"/>
    <w:rsid w:val="7A6D2EA5"/>
    <w:rsid w:val="7AED5125"/>
    <w:rsid w:val="7CCC4084"/>
    <w:rsid w:val="7D187387"/>
    <w:rsid w:val="7E503D2D"/>
    <w:rsid w:val="7F1F12D9"/>
    <w:rsid w:val="7FE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kern w:val="0"/>
      <w:sz w:val="20"/>
    </w:rPr>
  </w:style>
  <w:style w:type="paragraph" w:styleId="3">
    <w:name w:val="Body Text Indent"/>
    <w:basedOn w:val="1"/>
    <w:qFormat/>
    <w:uiPriority w:val="0"/>
    <w:pPr>
      <w:spacing w:line="360" w:lineRule="auto"/>
      <w:ind w:firstLine="420" w:firstLineChars="200"/>
    </w:pPr>
    <w:rPr>
      <w:rFonts w:ascii="宋体" w:hAnsi="宋体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  <w:rPr>
      <w:rFonts w:ascii="Times New Roman" w:hAnsi="Times New Roman" w:eastAsia="宋体"/>
      <w:sz w:val="18"/>
    </w:rPr>
  </w:style>
  <w:style w:type="character" w:customStyle="1" w:styleId="13">
    <w:name w:val="页脚 字符"/>
    <w:link w:val="6"/>
    <w:qFormat/>
    <w:uiPriority w:val="99"/>
    <w:rPr>
      <w:kern w:val="2"/>
      <w:sz w:val="18"/>
      <w:szCs w:val="18"/>
    </w:rPr>
  </w:style>
  <w:style w:type="paragraph" w:customStyle="1" w:styleId="14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5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6">
    <w:name w:val="段"/>
    <w:link w:val="17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7">
    <w:name w:val="段 Char"/>
    <w:link w:val="16"/>
    <w:qFormat/>
    <w:uiPriority w:val="0"/>
    <w:rPr>
      <w:rFonts w:ascii="宋体"/>
      <w:sz w:val="21"/>
      <w:lang w:val="en-US" w:eastAsia="zh-CN" w:bidi="ar-SA"/>
    </w:rPr>
  </w:style>
  <w:style w:type="paragraph" w:customStyle="1" w:styleId="18">
    <w:name w:val="章标题"/>
    <w:next w:val="16"/>
    <w:qFormat/>
    <w:uiPriority w:val="0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9">
    <w:name w:val="一级条标题"/>
    <w:next w:val="16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20">
    <w:name w:val="二级条标题"/>
    <w:basedOn w:val="19"/>
    <w:next w:val="16"/>
    <w:qFormat/>
    <w:uiPriority w:val="0"/>
    <w:pPr>
      <w:numPr>
        <w:ilvl w:val="3"/>
      </w:numPr>
      <w:outlineLvl w:val="3"/>
    </w:pPr>
  </w:style>
  <w:style w:type="paragraph" w:customStyle="1" w:styleId="21">
    <w:name w:val="附录标识"/>
    <w:basedOn w:val="15"/>
    <w:qFormat/>
    <w:uiPriority w:val="0"/>
    <w:pPr>
      <w:numPr>
        <w:ilvl w:val="0"/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22">
    <w:name w:val="附录章标题"/>
    <w:next w:val="16"/>
    <w:qFormat/>
    <w:uiPriority w:val="0"/>
    <w:pPr>
      <w:numPr>
        <w:ilvl w:val="1"/>
        <w:numId w:val="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23">
    <w:name w:val="附录一级条标题"/>
    <w:basedOn w:val="22"/>
    <w:next w:val="16"/>
    <w:qFormat/>
    <w:uiPriority w:val="0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24">
    <w:name w:val="附录二级条标题"/>
    <w:basedOn w:val="23"/>
    <w:next w:val="16"/>
    <w:qFormat/>
    <w:uiPriority w:val="0"/>
    <w:pPr>
      <w:numPr>
        <w:ilvl w:val="3"/>
      </w:numPr>
      <w:outlineLvl w:val="3"/>
    </w:pPr>
  </w:style>
  <w:style w:type="paragraph" w:customStyle="1" w:styleId="25">
    <w:name w:val="附录三级条标题"/>
    <w:basedOn w:val="24"/>
    <w:next w:val="16"/>
    <w:qFormat/>
    <w:uiPriority w:val="0"/>
    <w:pPr>
      <w:numPr>
        <w:ilvl w:val="4"/>
      </w:numPr>
      <w:outlineLvl w:val="4"/>
    </w:pPr>
  </w:style>
  <w:style w:type="paragraph" w:customStyle="1" w:styleId="26">
    <w:name w:val="附录四级条标题"/>
    <w:basedOn w:val="25"/>
    <w:next w:val="16"/>
    <w:qFormat/>
    <w:uiPriority w:val="0"/>
    <w:pPr>
      <w:numPr>
        <w:ilvl w:val="5"/>
      </w:numPr>
      <w:outlineLvl w:val="5"/>
    </w:pPr>
  </w:style>
  <w:style w:type="paragraph" w:customStyle="1" w:styleId="27">
    <w:name w:val="附录五级条标题"/>
    <w:basedOn w:val="26"/>
    <w:next w:val="16"/>
    <w:qFormat/>
    <w:uiPriority w:val="0"/>
    <w:pPr>
      <w:numPr>
        <w:ilvl w:val="6"/>
      </w:numPr>
      <w:outlineLvl w:val="6"/>
    </w:pPr>
  </w:style>
  <w:style w:type="paragraph" w:customStyle="1" w:styleId="28">
    <w:name w:val="目次、标准名称标题"/>
    <w:basedOn w:val="15"/>
    <w:next w:val="16"/>
    <w:qFormat/>
    <w:uiPriority w:val="0"/>
    <w:pPr>
      <w:spacing w:line="460" w:lineRule="exact"/>
    </w:pPr>
  </w:style>
  <w:style w:type="paragraph" w:customStyle="1" w:styleId="29">
    <w:name w:val="三级条标题"/>
    <w:basedOn w:val="20"/>
    <w:next w:val="16"/>
    <w:qFormat/>
    <w:uiPriority w:val="0"/>
    <w:pPr>
      <w:numPr>
        <w:ilvl w:val="4"/>
      </w:numPr>
      <w:outlineLvl w:val="4"/>
    </w:pPr>
  </w:style>
  <w:style w:type="paragraph" w:customStyle="1" w:styleId="30">
    <w:name w:val="四级条标题"/>
    <w:basedOn w:val="29"/>
    <w:next w:val="16"/>
    <w:qFormat/>
    <w:uiPriority w:val="0"/>
    <w:pPr>
      <w:numPr>
        <w:ilvl w:val="5"/>
      </w:numPr>
      <w:outlineLvl w:val="5"/>
    </w:pPr>
  </w:style>
  <w:style w:type="paragraph" w:customStyle="1" w:styleId="31">
    <w:name w:val="五级条标题"/>
    <w:basedOn w:val="30"/>
    <w:next w:val="16"/>
    <w:qFormat/>
    <w:uiPriority w:val="0"/>
    <w:pPr>
      <w:numPr>
        <w:ilvl w:val="6"/>
      </w:numPr>
      <w:outlineLvl w:val="6"/>
    </w:pPr>
  </w:style>
  <w:style w:type="paragraph" w:customStyle="1" w:styleId="32">
    <w:name w:val="正文图标题"/>
    <w:next w:val="16"/>
    <w:qFormat/>
    <w:uiPriority w:val="0"/>
    <w:pPr>
      <w:numPr>
        <w:ilvl w:val="0"/>
        <w:numId w:val="3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3">
    <w:name w:val="注："/>
    <w:next w:val="16"/>
    <w:qFormat/>
    <w:uiPriority w:val="0"/>
    <w:pPr>
      <w:widowControl w:val="0"/>
      <w:numPr>
        <w:ilvl w:val="0"/>
        <w:numId w:val="4"/>
      </w:numPr>
      <w:tabs>
        <w:tab w:val="clear" w:pos="114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34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5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附录二级无"/>
    <w:basedOn w:val="24"/>
    <w:qFormat/>
    <w:uiPriority w:val="0"/>
    <w:pPr>
      <w:numPr>
        <w:ilvl w:val="0"/>
        <w:numId w:val="0"/>
      </w:numPr>
      <w:tabs>
        <w:tab w:val="left" w:pos="1785"/>
      </w:tabs>
      <w:ind w:hanging="420"/>
    </w:pPr>
    <w:rPr>
      <w:rFonts w:ascii="宋体" w:eastAsia="宋体"/>
      <w:szCs w:val="21"/>
    </w:rPr>
  </w:style>
  <w:style w:type="paragraph" w:customStyle="1" w:styleId="38">
    <w:name w:val="纯文本1"/>
    <w:basedOn w:val="1"/>
    <w:qFormat/>
    <w:uiPriority w:val="0"/>
    <w:pPr>
      <w:adjustRightInd w:val="0"/>
      <w:textAlignment w:val="baseline"/>
    </w:pPr>
    <w:rPr>
      <w:rFonts w:ascii="宋体" w:hAnsi="Courier New"/>
      <w:szCs w:val="20"/>
    </w:rPr>
  </w:style>
  <w:style w:type="paragraph" w:customStyle="1" w:styleId="39">
    <w:name w:val="Body text|1"/>
    <w:basedOn w:val="1"/>
    <w:qFormat/>
    <w:uiPriority w:val="0"/>
    <w:pPr>
      <w:spacing w:after="100" w:line="410" w:lineRule="auto"/>
    </w:pPr>
    <w:rPr>
      <w:rFonts w:ascii="宋体" w:hAnsi="宋体" w:cs="宋体"/>
      <w:sz w:val="18"/>
      <w:szCs w:val="18"/>
      <w:lang w:val="zh-TW" w:eastAsia="zh-TW" w:bidi="zh-TW"/>
    </w:rPr>
  </w:style>
  <w:style w:type="paragraph" w:customStyle="1" w:styleId="40">
    <w:name w:val="Other|1"/>
    <w:basedOn w:val="1"/>
    <w:qFormat/>
    <w:uiPriority w:val="0"/>
    <w:pPr>
      <w:spacing w:after="100" w:line="410" w:lineRule="auto"/>
    </w:pPr>
    <w:rPr>
      <w:rFonts w:ascii="宋体" w:hAnsi="宋体" w:cs="宋体"/>
      <w:sz w:val="18"/>
      <w:szCs w:val="18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zlzk</Company>
  <Pages>6</Pages>
  <Words>2828</Words>
  <Characters>2875</Characters>
  <Lines>9</Lines>
  <Paragraphs>2</Paragraphs>
  <TotalTime>37</TotalTime>
  <ScaleCrop>false</ScaleCrop>
  <LinksUpToDate>false</LinksUpToDate>
  <CharactersWithSpaces>2939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2022-02-10T02:07:00Z</dcterms:created>
  <dc:creator>吴妨</dc:creator>
  <cp:lastModifiedBy>Jerryeoo</cp:lastModifiedBy>
  <cp:lastPrinted>2014-05-21T00:37:00Z</cp:lastPrinted>
  <dcterms:modified xsi:type="dcterms:W3CDTF">2022-04-19T01:37:35Z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81266B83C7FE449AB38579F6BE6FEF3A</vt:lpwstr>
  </property>
</Properties>
</file>