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E06E7" w14:textId="77777777" w:rsidR="00873365" w:rsidRDefault="00000000">
      <w:pPr>
        <w:pStyle w:val="Title"/>
      </w:pPr>
      <w:r>
        <w:t>Employee Sentiment Analysis &amp; Flight Risk Report</w:t>
      </w:r>
    </w:p>
    <w:p w14:paraId="7F5BB62A" w14:textId="4F889F93" w:rsidR="00873365" w:rsidRDefault="00000000">
      <w:r>
        <w:t xml:space="preserve">Prepared by: </w:t>
      </w:r>
      <w:r w:rsidR="00651C7C">
        <w:t>Aryan Anand Srivastava</w:t>
      </w:r>
      <w:r>
        <w:br/>
      </w:r>
    </w:p>
    <w:p w14:paraId="7C6858F9" w14:textId="77777777" w:rsidR="00873365" w:rsidRDefault="00000000">
      <w:r>
        <w:br w:type="page"/>
      </w:r>
    </w:p>
    <w:p w14:paraId="4A2A4211" w14:textId="77777777" w:rsidR="00873365" w:rsidRDefault="00000000">
      <w:pPr>
        <w:pStyle w:val="Heading1"/>
      </w:pPr>
      <w:r>
        <w:lastRenderedPageBreak/>
        <w:t>1. Approach &amp; Methodology</w:t>
      </w:r>
    </w:p>
    <w:p w14:paraId="52355885" w14:textId="77777777" w:rsidR="00873365" w:rsidRDefault="00000000">
      <w:r>
        <w:t xml:space="preserve">This project analyzes employee email sentiments to uncover trends, score and rank employees, identify potential flight risks, and build a predictive model of monthly sentiment scores. The pipeline </w:t>
      </w:r>
      <w:proofErr w:type="gramStart"/>
      <w:r>
        <w:t>includes:</w:t>
      </w:r>
      <w:proofErr w:type="gramEnd"/>
      <w:r>
        <w:t xml:space="preserve"> data cleaning, EDA, monthly scoring, ranking, 30-day rolling flight-risk detection, and a linear regression model with interpretable features.</w:t>
      </w:r>
    </w:p>
    <w:p w14:paraId="6391D80E" w14:textId="77777777" w:rsidR="00873365" w:rsidRDefault="00000000">
      <w:pPr>
        <w:pStyle w:val="Heading1"/>
      </w:pPr>
      <w:r>
        <w:t>2. Exploratory Data Analysis (EDA)</w:t>
      </w:r>
    </w:p>
    <w:p w14:paraId="6D1A86F2" w14:textId="77777777" w:rsidR="00873365" w:rsidRDefault="00000000">
      <w:r>
        <w:t>Total messages: 2191</w:t>
      </w:r>
    </w:p>
    <w:p w14:paraId="2DB7E767" w14:textId="77777777" w:rsidR="00873365" w:rsidRDefault="00000000">
      <w:r>
        <w:t>Unique employees: 10</w:t>
      </w:r>
    </w:p>
    <w:p w14:paraId="03352D11" w14:textId="77777777" w:rsidR="00873365" w:rsidRDefault="00000000">
      <w:r>
        <w:t>Date range: 2010-01-01 to 2011-12-31</w:t>
      </w:r>
    </w:p>
    <w:p w14:paraId="2A0EA611" w14:textId="77777777" w:rsidR="00873365" w:rsidRDefault="00000000">
      <w:r>
        <w:t>Missing values by column:</w:t>
      </w:r>
    </w:p>
    <w:tbl>
      <w:tblPr>
        <w:tblW w:w="0" w:type="auto"/>
        <w:tblLook w:val="04A0" w:firstRow="1" w:lastRow="0" w:firstColumn="1" w:lastColumn="0" w:noHBand="0" w:noVBand="1"/>
      </w:tblPr>
      <w:tblGrid>
        <w:gridCol w:w="4320"/>
        <w:gridCol w:w="4320"/>
      </w:tblGrid>
      <w:tr w:rsidR="00873365" w14:paraId="072C3B75" w14:textId="77777777">
        <w:tc>
          <w:tcPr>
            <w:tcW w:w="4320" w:type="dxa"/>
          </w:tcPr>
          <w:p w14:paraId="0F059932" w14:textId="77777777" w:rsidR="00873365" w:rsidRDefault="00000000">
            <w:r>
              <w:t>Column</w:t>
            </w:r>
          </w:p>
        </w:tc>
        <w:tc>
          <w:tcPr>
            <w:tcW w:w="4320" w:type="dxa"/>
          </w:tcPr>
          <w:p w14:paraId="64D2D46D" w14:textId="77777777" w:rsidR="00873365" w:rsidRDefault="00000000">
            <w:r>
              <w:t>Missing Count</w:t>
            </w:r>
          </w:p>
        </w:tc>
      </w:tr>
      <w:tr w:rsidR="00873365" w14:paraId="086F427D" w14:textId="77777777">
        <w:tc>
          <w:tcPr>
            <w:tcW w:w="4320" w:type="dxa"/>
          </w:tcPr>
          <w:p w14:paraId="46F1B385" w14:textId="77777777" w:rsidR="00873365" w:rsidRDefault="00000000">
            <w:r>
              <w:t>Subject</w:t>
            </w:r>
          </w:p>
        </w:tc>
        <w:tc>
          <w:tcPr>
            <w:tcW w:w="4320" w:type="dxa"/>
          </w:tcPr>
          <w:p w14:paraId="4180E21D" w14:textId="77777777" w:rsidR="00873365" w:rsidRDefault="00000000">
            <w:r>
              <w:t>0</w:t>
            </w:r>
          </w:p>
        </w:tc>
      </w:tr>
      <w:tr w:rsidR="00873365" w14:paraId="33CB5EB6" w14:textId="77777777">
        <w:tc>
          <w:tcPr>
            <w:tcW w:w="4320" w:type="dxa"/>
          </w:tcPr>
          <w:p w14:paraId="2F56619F" w14:textId="77777777" w:rsidR="00873365" w:rsidRDefault="00000000">
            <w:r>
              <w:t>body</w:t>
            </w:r>
          </w:p>
        </w:tc>
        <w:tc>
          <w:tcPr>
            <w:tcW w:w="4320" w:type="dxa"/>
          </w:tcPr>
          <w:p w14:paraId="1FEBCAAF" w14:textId="77777777" w:rsidR="00873365" w:rsidRDefault="00000000">
            <w:r>
              <w:t>0</w:t>
            </w:r>
          </w:p>
        </w:tc>
      </w:tr>
      <w:tr w:rsidR="00873365" w14:paraId="23EC693C" w14:textId="77777777">
        <w:tc>
          <w:tcPr>
            <w:tcW w:w="4320" w:type="dxa"/>
          </w:tcPr>
          <w:p w14:paraId="1BFD3C5E" w14:textId="77777777" w:rsidR="00873365" w:rsidRDefault="00000000">
            <w:r>
              <w:t>date</w:t>
            </w:r>
          </w:p>
        </w:tc>
        <w:tc>
          <w:tcPr>
            <w:tcW w:w="4320" w:type="dxa"/>
          </w:tcPr>
          <w:p w14:paraId="5D01AA3A" w14:textId="77777777" w:rsidR="00873365" w:rsidRDefault="00000000">
            <w:r>
              <w:t>0</w:t>
            </w:r>
          </w:p>
        </w:tc>
      </w:tr>
      <w:tr w:rsidR="00873365" w14:paraId="549A30CC" w14:textId="77777777">
        <w:tc>
          <w:tcPr>
            <w:tcW w:w="4320" w:type="dxa"/>
          </w:tcPr>
          <w:p w14:paraId="3F8DE76E" w14:textId="77777777" w:rsidR="00873365" w:rsidRDefault="00000000">
            <w:r>
              <w:t>from</w:t>
            </w:r>
          </w:p>
        </w:tc>
        <w:tc>
          <w:tcPr>
            <w:tcW w:w="4320" w:type="dxa"/>
          </w:tcPr>
          <w:p w14:paraId="41F44F7C" w14:textId="77777777" w:rsidR="00873365" w:rsidRDefault="00000000">
            <w:r>
              <w:t>0</w:t>
            </w:r>
          </w:p>
        </w:tc>
      </w:tr>
      <w:tr w:rsidR="00873365" w14:paraId="0A149563" w14:textId="77777777">
        <w:tc>
          <w:tcPr>
            <w:tcW w:w="4320" w:type="dxa"/>
          </w:tcPr>
          <w:p w14:paraId="3A4ED967" w14:textId="77777777" w:rsidR="00873365" w:rsidRDefault="00000000">
            <w:r>
              <w:t>text</w:t>
            </w:r>
          </w:p>
        </w:tc>
        <w:tc>
          <w:tcPr>
            <w:tcW w:w="4320" w:type="dxa"/>
          </w:tcPr>
          <w:p w14:paraId="7DF70F58" w14:textId="77777777" w:rsidR="00873365" w:rsidRDefault="00000000">
            <w:r>
              <w:t>0</w:t>
            </w:r>
          </w:p>
        </w:tc>
      </w:tr>
      <w:tr w:rsidR="00873365" w14:paraId="44BF900B" w14:textId="77777777">
        <w:tc>
          <w:tcPr>
            <w:tcW w:w="4320" w:type="dxa"/>
          </w:tcPr>
          <w:p w14:paraId="52B3B887" w14:textId="77777777" w:rsidR="00873365" w:rsidRDefault="00000000">
            <w:r>
              <w:t>Sentiment</w:t>
            </w:r>
          </w:p>
        </w:tc>
        <w:tc>
          <w:tcPr>
            <w:tcW w:w="4320" w:type="dxa"/>
          </w:tcPr>
          <w:p w14:paraId="53BAEA69" w14:textId="77777777" w:rsidR="00873365" w:rsidRDefault="00000000">
            <w:r>
              <w:t>0</w:t>
            </w:r>
          </w:p>
        </w:tc>
      </w:tr>
      <w:tr w:rsidR="00873365" w14:paraId="13C2DE08" w14:textId="77777777">
        <w:tc>
          <w:tcPr>
            <w:tcW w:w="4320" w:type="dxa"/>
          </w:tcPr>
          <w:p w14:paraId="0405BDEE" w14:textId="77777777" w:rsidR="00873365" w:rsidRDefault="00000000">
            <w:r>
              <w:t>text_used</w:t>
            </w:r>
          </w:p>
        </w:tc>
        <w:tc>
          <w:tcPr>
            <w:tcW w:w="4320" w:type="dxa"/>
          </w:tcPr>
          <w:p w14:paraId="6B541552" w14:textId="77777777" w:rsidR="00873365" w:rsidRDefault="00000000">
            <w:r>
              <w:t>0</w:t>
            </w:r>
          </w:p>
        </w:tc>
      </w:tr>
      <w:tr w:rsidR="00873365" w14:paraId="39E6E344" w14:textId="77777777">
        <w:tc>
          <w:tcPr>
            <w:tcW w:w="4320" w:type="dxa"/>
          </w:tcPr>
          <w:p w14:paraId="35CC9A78" w14:textId="77777777" w:rsidR="00873365" w:rsidRDefault="00000000">
            <w:r>
              <w:t>msg_score</w:t>
            </w:r>
          </w:p>
        </w:tc>
        <w:tc>
          <w:tcPr>
            <w:tcW w:w="4320" w:type="dxa"/>
          </w:tcPr>
          <w:p w14:paraId="054EC4F7" w14:textId="77777777" w:rsidR="00873365" w:rsidRDefault="00000000">
            <w:r>
              <w:t>0</w:t>
            </w:r>
          </w:p>
        </w:tc>
      </w:tr>
      <w:tr w:rsidR="00873365" w14:paraId="5A870624" w14:textId="77777777">
        <w:tc>
          <w:tcPr>
            <w:tcW w:w="4320" w:type="dxa"/>
          </w:tcPr>
          <w:p w14:paraId="69A96FA2" w14:textId="77777777" w:rsidR="00873365" w:rsidRDefault="00000000">
            <w:r>
              <w:t>YearMonth</w:t>
            </w:r>
          </w:p>
        </w:tc>
        <w:tc>
          <w:tcPr>
            <w:tcW w:w="4320" w:type="dxa"/>
          </w:tcPr>
          <w:p w14:paraId="242C8214" w14:textId="77777777" w:rsidR="00873365" w:rsidRDefault="00000000">
            <w:r>
              <w:t>0</w:t>
            </w:r>
          </w:p>
        </w:tc>
      </w:tr>
    </w:tbl>
    <w:p w14:paraId="09037ADC" w14:textId="77777777" w:rsidR="00873365" w:rsidRDefault="00000000">
      <w:r>
        <w:br/>
        <w:t>Figure 1: Sentiment distribution</w:t>
      </w:r>
    </w:p>
    <w:p w14:paraId="658CECFD" w14:textId="77777777" w:rsidR="00873365" w:rsidRDefault="00000000">
      <w:r>
        <w:rPr>
          <w:noProof/>
        </w:rPr>
        <w:lastRenderedPageBreak/>
        <w:drawing>
          <wp:inline distT="0" distB="0" distL="0" distR="0" wp14:anchorId="4735C864" wp14:editId="0817E78F">
            <wp:extent cx="470764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707640" cy="3352800"/>
                    </a:xfrm>
                    <a:prstGeom prst="rect">
                      <a:avLst/>
                    </a:prstGeom>
                  </pic:spPr>
                </pic:pic>
              </a:graphicData>
            </a:graphic>
          </wp:inline>
        </w:drawing>
      </w:r>
    </w:p>
    <w:p w14:paraId="6A6C800C" w14:textId="77777777" w:rsidR="00873365" w:rsidRDefault="00000000">
      <w:r>
        <w:br/>
        <w:t>Figure 2: Monthly sentiment counts over time</w:t>
      </w:r>
    </w:p>
    <w:p w14:paraId="5F7939E7" w14:textId="77777777" w:rsidR="00873365" w:rsidRDefault="00000000">
      <w:r>
        <w:rPr>
          <w:noProof/>
        </w:rPr>
        <w:drawing>
          <wp:inline distT="0" distB="0" distL="0" distR="0" wp14:anchorId="69CDC0B3" wp14:editId="0D78A7DC">
            <wp:extent cx="5166360" cy="3938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190482" cy="3957296"/>
                    </a:xfrm>
                    <a:prstGeom prst="rect">
                      <a:avLst/>
                    </a:prstGeom>
                  </pic:spPr>
                </pic:pic>
              </a:graphicData>
            </a:graphic>
          </wp:inline>
        </w:drawing>
      </w:r>
    </w:p>
    <w:p w14:paraId="48AF4230" w14:textId="77777777" w:rsidR="00873365" w:rsidRDefault="00000000">
      <w:r>
        <w:lastRenderedPageBreak/>
        <w:br/>
        <w:t>Figure 3: Top 10 senders and their sentiment mix</w:t>
      </w:r>
    </w:p>
    <w:p w14:paraId="068AFB2A" w14:textId="77777777" w:rsidR="00873365" w:rsidRDefault="00000000">
      <w:r>
        <w:rPr>
          <w:noProof/>
        </w:rPr>
        <w:drawing>
          <wp:inline distT="0" distB="0" distL="0" distR="0" wp14:anchorId="17E9759D" wp14:editId="409F0EE1">
            <wp:extent cx="5722620" cy="4995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734453" cy="5006118"/>
                    </a:xfrm>
                    <a:prstGeom prst="rect">
                      <a:avLst/>
                    </a:prstGeom>
                  </pic:spPr>
                </pic:pic>
              </a:graphicData>
            </a:graphic>
          </wp:inline>
        </w:drawing>
      </w:r>
    </w:p>
    <w:p w14:paraId="1CD237ED" w14:textId="77777777" w:rsidR="00873365" w:rsidRDefault="00000000">
      <w:pPr>
        <w:pStyle w:val="Heading1"/>
      </w:pPr>
      <w:r>
        <w:t>3. Employee Sentiment Scoring &amp; Ranking</w:t>
      </w:r>
    </w:p>
    <w:p w14:paraId="47B84561" w14:textId="77777777" w:rsidR="00873365" w:rsidRDefault="00000000">
      <w:r>
        <w:t xml:space="preserve">Scoring rule per message: Positive = +1, Negative = −1, Neutral = 0. Monthly scores were computed as the sum of message scores per employee per month. Top Positive and Top Negative rankings were derived each month by sorting by score (descending for positives, ascending for negatives) with alphabetical </w:t>
      </w:r>
      <w:proofErr w:type="gramStart"/>
      <w:r>
        <w:t>tie-breakers</w:t>
      </w:r>
      <w:proofErr w:type="gramEnd"/>
      <w:r>
        <w:t>.</w:t>
      </w:r>
    </w:p>
    <w:p w14:paraId="034A829E" w14:textId="77777777" w:rsidR="00873365" w:rsidRDefault="00000000">
      <w:r>
        <w:t>Latest month: 2011-12</w:t>
      </w:r>
    </w:p>
    <w:p w14:paraId="5C819BD9" w14:textId="77777777" w:rsidR="00873365" w:rsidRDefault="00000000">
      <w:r>
        <w:t>Top Positive Employees (latest month)</w:t>
      </w:r>
    </w:p>
    <w:tbl>
      <w:tblPr>
        <w:tblW w:w="0" w:type="auto"/>
        <w:tblLook w:val="04A0" w:firstRow="1" w:lastRow="0" w:firstColumn="1" w:lastColumn="0" w:noHBand="0" w:noVBand="1"/>
      </w:tblPr>
      <w:tblGrid>
        <w:gridCol w:w="2880"/>
        <w:gridCol w:w="2880"/>
        <w:gridCol w:w="2880"/>
      </w:tblGrid>
      <w:tr w:rsidR="00873365" w14:paraId="2C12ABAD" w14:textId="77777777">
        <w:tc>
          <w:tcPr>
            <w:tcW w:w="2880" w:type="dxa"/>
          </w:tcPr>
          <w:p w14:paraId="7344B35D" w14:textId="77777777" w:rsidR="00873365" w:rsidRDefault="00000000">
            <w:r>
              <w:t>Rank</w:t>
            </w:r>
          </w:p>
        </w:tc>
        <w:tc>
          <w:tcPr>
            <w:tcW w:w="2880" w:type="dxa"/>
          </w:tcPr>
          <w:p w14:paraId="2DA1FE55" w14:textId="77777777" w:rsidR="00873365" w:rsidRDefault="00000000">
            <w:r>
              <w:t>Employee</w:t>
            </w:r>
          </w:p>
        </w:tc>
        <w:tc>
          <w:tcPr>
            <w:tcW w:w="2880" w:type="dxa"/>
          </w:tcPr>
          <w:p w14:paraId="3AA6CCFC" w14:textId="77777777" w:rsidR="00873365" w:rsidRDefault="00000000">
            <w:r>
              <w:t>Sentiment Score</w:t>
            </w:r>
          </w:p>
        </w:tc>
      </w:tr>
      <w:tr w:rsidR="00873365" w14:paraId="0D1A8900" w14:textId="77777777">
        <w:tc>
          <w:tcPr>
            <w:tcW w:w="2880" w:type="dxa"/>
          </w:tcPr>
          <w:p w14:paraId="6350D44D" w14:textId="77777777" w:rsidR="00873365" w:rsidRDefault="00000000">
            <w:r>
              <w:t>1</w:t>
            </w:r>
          </w:p>
        </w:tc>
        <w:tc>
          <w:tcPr>
            <w:tcW w:w="2880" w:type="dxa"/>
          </w:tcPr>
          <w:p w14:paraId="2EED809D" w14:textId="77777777" w:rsidR="00873365" w:rsidRDefault="00000000">
            <w:r>
              <w:t>john.arnold@enron.com</w:t>
            </w:r>
          </w:p>
        </w:tc>
        <w:tc>
          <w:tcPr>
            <w:tcW w:w="2880" w:type="dxa"/>
          </w:tcPr>
          <w:p w14:paraId="686BDD6D" w14:textId="77777777" w:rsidR="00873365" w:rsidRDefault="00000000">
            <w:r>
              <w:t>2</w:t>
            </w:r>
          </w:p>
        </w:tc>
      </w:tr>
      <w:tr w:rsidR="00873365" w14:paraId="783F9EAE" w14:textId="77777777">
        <w:tc>
          <w:tcPr>
            <w:tcW w:w="2880" w:type="dxa"/>
          </w:tcPr>
          <w:p w14:paraId="4E0675C7" w14:textId="77777777" w:rsidR="00873365" w:rsidRDefault="00000000">
            <w:r>
              <w:lastRenderedPageBreak/>
              <w:t>2</w:t>
            </w:r>
          </w:p>
        </w:tc>
        <w:tc>
          <w:tcPr>
            <w:tcW w:w="2880" w:type="dxa"/>
          </w:tcPr>
          <w:p w14:paraId="68E136A5" w14:textId="77777777" w:rsidR="00873365" w:rsidRDefault="00000000">
            <w:r>
              <w:t>johnny.palmer@enron.com</w:t>
            </w:r>
          </w:p>
        </w:tc>
        <w:tc>
          <w:tcPr>
            <w:tcW w:w="2880" w:type="dxa"/>
          </w:tcPr>
          <w:p w14:paraId="22FA529A" w14:textId="77777777" w:rsidR="00873365" w:rsidRDefault="00000000">
            <w:r>
              <w:t>1</w:t>
            </w:r>
          </w:p>
        </w:tc>
      </w:tr>
      <w:tr w:rsidR="00873365" w14:paraId="66B7CE12" w14:textId="77777777">
        <w:tc>
          <w:tcPr>
            <w:tcW w:w="2880" w:type="dxa"/>
          </w:tcPr>
          <w:p w14:paraId="3BB77704" w14:textId="77777777" w:rsidR="00873365" w:rsidRDefault="00000000">
            <w:r>
              <w:t>3</w:t>
            </w:r>
          </w:p>
        </w:tc>
        <w:tc>
          <w:tcPr>
            <w:tcW w:w="2880" w:type="dxa"/>
          </w:tcPr>
          <w:p w14:paraId="085DAD66" w14:textId="77777777" w:rsidR="00873365" w:rsidRDefault="00000000">
            <w:r>
              <w:t>patti.thompson@enron.com</w:t>
            </w:r>
          </w:p>
        </w:tc>
        <w:tc>
          <w:tcPr>
            <w:tcW w:w="2880" w:type="dxa"/>
          </w:tcPr>
          <w:p w14:paraId="0CD1C679" w14:textId="77777777" w:rsidR="00873365" w:rsidRDefault="00000000">
            <w:r>
              <w:t>0</w:t>
            </w:r>
          </w:p>
        </w:tc>
      </w:tr>
    </w:tbl>
    <w:p w14:paraId="346978A2" w14:textId="77777777" w:rsidR="00873365" w:rsidRDefault="00000000">
      <w:r>
        <w:br/>
        <w:t>Top Negative Employees (latest month)</w:t>
      </w:r>
    </w:p>
    <w:tbl>
      <w:tblPr>
        <w:tblW w:w="0" w:type="auto"/>
        <w:tblLook w:val="04A0" w:firstRow="1" w:lastRow="0" w:firstColumn="1" w:lastColumn="0" w:noHBand="0" w:noVBand="1"/>
      </w:tblPr>
      <w:tblGrid>
        <w:gridCol w:w="2880"/>
        <w:gridCol w:w="2938"/>
        <w:gridCol w:w="2880"/>
      </w:tblGrid>
      <w:tr w:rsidR="00873365" w14:paraId="162C837C" w14:textId="77777777">
        <w:tc>
          <w:tcPr>
            <w:tcW w:w="2880" w:type="dxa"/>
          </w:tcPr>
          <w:p w14:paraId="4D45AE80" w14:textId="77777777" w:rsidR="00873365" w:rsidRDefault="00000000">
            <w:r>
              <w:t>Rank</w:t>
            </w:r>
          </w:p>
        </w:tc>
        <w:tc>
          <w:tcPr>
            <w:tcW w:w="2880" w:type="dxa"/>
          </w:tcPr>
          <w:p w14:paraId="05444191" w14:textId="77777777" w:rsidR="00873365" w:rsidRDefault="00000000">
            <w:r>
              <w:t>Employee</w:t>
            </w:r>
          </w:p>
        </w:tc>
        <w:tc>
          <w:tcPr>
            <w:tcW w:w="2880" w:type="dxa"/>
          </w:tcPr>
          <w:p w14:paraId="2693FBB8" w14:textId="77777777" w:rsidR="00873365" w:rsidRDefault="00000000">
            <w:r>
              <w:t>Sentiment Score</w:t>
            </w:r>
          </w:p>
        </w:tc>
      </w:tr>
      <w:tr w:rsidR="00873365" w14:paraId="05D31563" w14:textId="77777777">
        <w:tc>
          <w:tcPr>
            <w:tcW w:w="2880" w:type="dxa"/>
          </w:tcPr>
          <w:p w14:paraId="44BCE405" w14:textId="77777777" w:rsidR="00873365" w:rsidRDefault="00000000">
            <w:r>
              <w:t>1</w:t>
            </w:r>
          </w:p>
        </w:tc>
        <w:tc>
          <w:tcPr>
            <w:tcW w:w="2880" w:type="dxa"/>
          </w:tcPr>
          <w:p w14:paraId="1D846198" w14:textId="77777777" w:rsidR="00873365" w:rsidRDefault="00000000">
            <w:r>
              <w:t>bobette.riner@ipgdirect.com</w:t>
            </w:r>
          </w:p>
        </w:tc>
        <w:tc>
          <w:tcPr>
            <w:tcW w:w="2880" w:type="dxa"/>
          </w:tcPr>
          <w:p w14:paraId="7AA0CC85" w14:textId="77777777" w:rsidR="00873365" w:rsidRDefault="00000000">
            <w:r>
              <w:t>-3</w:t>
            </w:r>
          </w:p>
        </w:tc>
      </w:tr>
      <w:tr w:rsidR="00873365" w14:paraId="171564C9" w14:textId="77777777">
        <w:tc>
          <w:tcPr>
            <w:tcW w:w="2880" w:type="dxa"/>
          </w:tcPr>
          <w:p w14:paraId="0DE82F3D" w14:textId="77777777" w:rsidR="00873365" w:rsidRDefault="00000000">
            <w:r>
              <w:t>2</w:t>
            </w:r>
          </w:p>
        </w:tc>
        <w:tc>
          <w:tcPr>
            <w:tcW w:w="2880" w:type="dxa"/>
          </w:tcPr>
          <w:p w14:paraId="1F68FA73" w14:textId="77777777" w:rsidR="00873365" w:rsidRDefault="00000000">
            <w:r>
              <w:t>don.baughman@enron.com</w:t>
            </w:r>
          </w:p>
        </w:tc>
        <w:tc>
          <w:tcPr>
            <w:tcW w:w="2880" w:type="dxa"/>
          </w:tcPr>
          <w:p w14:paraId="195CC59A" w14:textId="77777777" w:rsidR="00873365" w:rsidRDefault="00000000">
            <w:r>
              <w:t>-3</w:t>
            </w:r>
          </w:p>
        </w:tc>
      </w:tr>
      <w:tr w:rsidR="00873365" w14:paraId="387FC2C1" w14:textId="77777777">
        <w:tc>
          <w:tcPr>
            <w:tcW w:w="2880" w:type="dxa"/>
          </w:tcPr>
          <w:p w14:paraId="2AC84392" w14:textId="77777777" w:rsidR="00873365" w:rsidRDefault="00000000">
            <w:r>
              <w:t>3</w:t>
            </w:r>
          </w:p>
        </w:tc>
        <w:tc>
          <w:tcPr>
            <w:tcW w:w="2880" w:type="dxa"/>
          </w:tcPr>
          <w:p w14:paraId="5FD4F5A1" w14:textId="77777777" w:rsidR="00873365" w:rsidRDefault="00000000">
            <w:r>
              <w:t>eric.bass@enron.com</w:t>
            </w:r>
          </w:p>
        </w:tc>
        <w:tc>
          <w:tcPr>
            <w:tcW w:w="2880" w:type="dxa"/>
          </w:tcPr>
          <w:p w14:paraId="07E0072B" w14:textId="77777777" w:rsidR="00873365" w:rsidRDefault="00000000">
            <w:r>
              <w:t>-3</w:t>
            </w:r>
          </w:p>
        </w:tc>
      </w:tr>
    </w:tbl>
    <w:p w14:paraId="185F408E" w14:textId="77777777" w:rsidR="00873365" w:rsidRDefault="00000000">
      <w:pPr>
        <w:pStyle w:val="Heading1"/>
      </w:pPr>
      <w:r>
        <w:t>4. Flight Risk Identification</w:t>
      </w:r>
    </w:p>
    <w:p w14:paraId="193C4448" w14:textId="77777777" w:rsidR="00873365" w:rsidRDefault="00000000">
      <w:r>
        <w:t>Definition: An employee is flagged as Flight Risk if they have sent 4 or more negative emails within any rolling 30-day window (cross-month). This rolling window ensures robust detection independent of calendar months.</w:t>
      </w:r>
    </w:p>
    <w:p w14:paraId="38143694" w14:textId="77777777" w:rsidR="00873365" w:rsidRDefault="00000000">
      <w:r>
        <w:t>Flagged employees:</w:t>
      </w:r>
    </w:p>
    <w:tbl>
      <w:tblPr>
        <w:tblW w:w="0" w:type="auto"/>
        <w:tblLook w:val="04A0" w:firstRow="1" w:lastRow="0" w:firstColumn="1" w:lastColumn="0" w:noHBand="0" w:noVBand="1"/>
      </w:tblPr>
      <w:tblGrid>
        <w:gridCol w:w="2938"/>
        <w:gridCol w:w="2880"/>
        <w:gridCol w:w="2880"/>
      </w:tblGrid>
      <w:tr w:rsidR="00C03F36" w14:paraId="7383682D" w14:textId="77777777" w:rsidTr="00C03F36">
        <w:tc>
          <w:tcPr>
            <w:tcW w:w="2938" w:type="dxa"/>
            <w:vAlign w:val="center"/>
          </w:tcPr>
          <w:p w14:paraId="7A7E9CFC" w14:textId="32864807" w:rsidR="00C03F36" w:rsidRDefault="00C03F36" w:rsidP="00C03F36">
            <w:r>
              <w:rPr>
                <w:b/>
                <w:bCs/>
              </w:rPr>
              <w:t>From</w:t>
            </w:r>
          </w:p>
        </w:tc>
        <w:tc>
          <w:tcPr>
            <w:tcW w:w="2880" w:type="dxa"/>
            <w:vAlign w:val="center"/>
          </w:tcPr>
          <w:p w14:paraId="66596BDA" w14:textId="04B7A4BA" w:rsidR="00C03F36" w:rsidRDefault="00C03F36" w:rsidP="00C03F36">
            <w:proofErr w:type="spellStart"/>
            <w:r>
              <w:rPr>
                <w:b/>
                <w:bCs/>
              </w:rPr>
              <w:t>First_Flag_Date</w:t>
            </w:r>
            <w:proofErr w:type="spellEnd"/>
          </w:p>
        </w:tc>
        <w:tc>
          <w:tcPr>
            <w:tcW w:w="2880" w:type="dxa"/>
            <w:vAlign w:val="center"/>
          </w:tcPr>
          <w:p w14:paraId="0F8B713A" w14:textId="23CD7E6E" w:rsidR="00C03F36" w:rsidRDefault="00C03F36" w:rsidP="00C03F36">
            <w:proofErr w:type="spellStart"/>
            <w:r>
              <w:rPr>
                <w:b/>
                <w:bCs/>
              </w:rPr>
              <w:t>Total_Neg_Mails</w:t>
            </w:r>
            <w:proofErr w:type="spellEnd"/>
          </w:p>
        </w:tc>
      </w:tr>
      <w:tr w:rsidR="00C03F36" w14:paraId="1A9096C3" w14:textId="77777777" w:rsidTr="00C03F36">
        <w:tc>
          <w:tcPr>
            <w:tcW w:w="2938" w:type="dxa"/>
            <w:vAlign w:val="center"/>
          </w:tcPr>
          <w:p w14:paraId="134089B3" w14:textId="1F180F77" w:rsidR="00C03F36" w:rsidRDefault="00C03F36" w:rsidP="00C03F36">
            <w:hyperlink r:id="rId9" w:history="1">
              <w:r>
                <w:rPr>
                  <w:rStyle w:val="Hyperlink"/>
                </w:rPr>
                <w:t>bobette.riner@ipgdirect.com</w:t>
              </w:r>
            </w:hyperlink>
          </w:p>
        </w:tc>
        <w:tc>
          <w:tcPr>
            <w:tcW w:w="2880" w:type="dxa"/>
            <w:vAlign w:val="center"/>
          </w:tcPr>
          <w:p w14:paraId="2DEF5B8A" w14:textId="5C015971" w:rsidR="00C03F36" w:rsidRDefault="00C03F36" w:rsidP="00C03F36">
            <w:r>
              <w:t>2010-04-21</w:t>
            </w:r>
          </w:p>
        </w:tc>
        <w:tc>
          <w:tcPr>
            <w:tcW w:w="2880" w:type="dxa"/>
            <w:vAlign w:val="center"/>
          </w:tcPr>
          <w:p w14:paraId="529789DC" w14:textId="04887917" w:rsidR="00C03F36" w:rsidRDefault="00C03F36" w:rsidP="00C03F36">
            <w:r>
              <w:t>129</w:t>
            </w:r>
          </w:p>
        </w:tc>
      </w:tr>
      <w:tr w:rsidR="00C03F36" w14:paraId="7EE7D8E5" w14:textId="77777777" w:rsidTr="00C03F36">
        <w:tc>
          <w:tcPr>
            <w:tcW w:w="2938" w:type="dxa"/>
            <w:vAlign w:val="center"/>
          </w:tcPr>
          <w:p w14:paraId="37F48883" w14:textId="6B270484" w:rsidR="00C03F36" w:rsidRDefault="00C03F36" w:rsidP="00C03F36">
            <w:hyperlink r:id="rId10" w:history="1">
              <w:r>
                <w:rPr>
                  <w:rStyle w:val="Hyperlink"/>
                </w:rPr>
                <w:t>don.baughman@enron.com</w:t>
              </w:r>
            </w:hyperlink>
          </w:p>
        </w:tc>
        <w:tc>
          <w:tcPr>
            <w:tcW w:w="2880" w:type="dxa"/>
            <w:vAlign w:val="center"/>
          </w:tcPr>
          <w:p w14:paraId="3B25E2FB" w14:textId="3E393F1B" w:rsidR="00C03F36" w:rsidRDefault="00C03F36" w:rsidP="00C03F36">
            <w:r>
              <w:t>2010-01-26</w:t>
            </w:r>
          </w:p>
        </w:tc>
        <w:tc>
          <w:tcPr>
            <w:tcW w:w="2880" w:type="dxa"/>
            <w:vAlign w:val="center"/>
          </w:tcPr>
          <w:p w14:paraId="37818569" w14:textId="0FA2D22A" w:rsidR="00C03F36" w:rsidRDefault="00C03F36" w:rsidP="00C03F36">
            <w:r>
              <w:t>131</w:t>
            </w:r>
          </w:p>
        </w:tc>
      </w:tr>
      <w:tr w:rsidR="00C03F36" w14:paraId="0585F0FF" w14:textId="77777777" w:rsidTr="00C03F36">
        <w:tc>
          <w:tcPr>
            <w:tcW w:w="2938" w:type="dxa"/>
            <w:vAlign w:val="center"/>
          </w:tcPr>
          <w:p w14:paraId="1F78BB89" w14:textId="6D1440EC" w:rsidR="00C03F36" w:rsidRDefault="00C03F36" w:rsidP="00C03F36">
            <w:hyperlink r:id="rId11" w:history="1">
              <w:r>
                <w:rPr>
                  <w:rStyle w:val="Hyperlink"/>
                </w:rPr>
                <w:t>eric.bass@enron.com</w:t>
              </w:r>
            </w:hyperlink>
          </w:p>
        </w:tc>
        <w:tc>
          <w:tcPr>
            <w:tcW w:w="2880" w:type="dxa"/>
            <w:vAlign w:val="center"/>
          </w:tcPr>
          <w:p w14:paraId="75BF316F" w14:textId="00919F21" w:rsidR="00C03F36" w:rsidRDefault="00C03F36" w:rsidP="00C03F36">
            <w:r>
              <w:t>2010-09-03</w:t>
            </w:r>
          </w:p>
        </w:tc>
        <w:tc>
          <w:tcPr>
            <w:tcW w:w="2880" w:type="dxa"/>
            <w:vAlign w:val="center"/>
          </w:tcPr>
          <w:p w14:paraId="42D87825" w14:textId="25794680" w:rsidR="00C03F36" w:rsidRDefault="00C03F36" w:rsidP="00C03F36">
            <w:r>
              <w:t>114</w:t>
            </w:r>
          </w:p>
        </w:tc>
      </w:tr>
      <w:tr w:rsidR="00C03F36" w14:paraId="5998F5D5" w14:textId="77777777" w:rsidTr="00C03F36">
        <w:tc>
          <w:tcPr>
            <w:tcW w:w="2938" w:type="dxa"/>
            <w:vAlign w:val="center"/>
          </w:tcPr>
          <w:p w14:paraId="7E7B1A09" w14:textId="61D9270F" w:rsidR="00C03F36" w:rsidRDefault="00C03F36" w:rsidP="00C03F36">
            <w:hyperlink r:id="rId12" w:history="1">
              <w:r>
                <w:rPr>
                  <w:rStyle w:val="Hyperlink"/>
                </w:rPr>
                <w:t>john.arnold@enron.com</w:t>
              </w:r>
            </w:hyperlink>
          </w:p>
        </w:tc>
        <w:tc>
          <w:tcPr>
            <w:tcW w:w="2880" w:type="dxa"/>
            <w:vAlign w:val="center"/>
          </w:tcPr>
          <w:p w14:paraId="53A2BC56" w14:textId="6BAB9B85" w:rsidR="00C03F36" w:rsidRDefault="00C03F36" w:rsidP="00C03F36">
            <w:r>
              <w:t>2010-01-10</w:t>
            </w:r>
          </w:p>
        </w:tc>
        <w:tc>
          <w:tcPr>
            <w:tcW w:w="2880" w:type="dxa"/>
            <w:vAlign w:val="center"/>
          </w:tcPr>
          <w:p w14:paraId="25200CD4" w14:textId="3494E2BE" w:rsidR="00C03F36" w:rsidRDefault="00C03F36" w:rsidP="00C03F36">
            <w:r>
              <w:t>145</w:t>
            </w:r>
          </w:p>
        </w:tc>
      </w:tr>
      <w:tr w:rsidR="00C03F36" w14:paraId="67EEDAC4" w14:textId="77777777" w:rsidTr="00C03F36">
        <w:tc>
          <w:tcPr>
            <w:tcW w:w="2938" w:type="dxa"/>
            <w:vAlign w:val="center"/>
          </w:tcPr>
          <w:p w14:paraId="5C1BDDE5" w14:textId="6D9206A7" w:rsidR="00C03F36" w:rsidRDefault="00C03F36" w:rsidP="00C03F36">
            <w:hyperlink r:id="rId13" w:history="1">
              <w:r>
                <w:rPr>
                  <w:rStyle w:val="Hyperlink"/>
                </w:rPr>
                <w:t>johnny.palmer@enron.com</w:t>
              </w:r>
            </w:hyperlink>
          </w:p>
        </w:tc>
        <w:tc>
          <w:tcPr>
            <w:tcW w:w="2880" w:type="dxa"/>
            <w:vAlign w:val="center"/>
          </w:tcPr>
          <w:p w14:paraId="341C7B26" w14:textId="6A92DC61" w:rsidR="00C03F36" w:rsidRDefault="00C03F36" w:rsidP="00C03F36">
            <w:r>
              <w:t>2010-03-25</w:t>
            </w:r>
          </w:p>
        </w:tc>
        <w:tc>
          <w:tcPr>
            <w:tcW w:w="2880" w:type="dxa"/>
            <w:vAlign w:val="center"/>
          </w:tcPr>
          <w:p w14:paraId="43AD3C4B" w14:textId="43C5948C" w:rsidR="00C03F36" w:rsidRDefault="00C03F36" w:rsidP="00C03F36">
            <w:r>
              <w:t>109</w:t>
            </w:r>
          </w:p>
        </w:tc>
      </w:tr>
      <w:tr w:rsidR="00C03F36" w14:paraId="35BC2BB4" w14:textId="77777777" w:rsidTr="00C03F36">
        <w:tc>
          <w:tcPr>
            <w:tcW w:w="2938" w:type="dxa"/>
            <w:vAlign w:val="center"/>
          </w:tcPr>
          <w:p w14:paraId="514B8305" w14:textId="7D7CAF1E" w:rsidR="00C03F36" w:rsidRDefault="00C03F36" w:rsidP="00C03F36">
            <w:hyperlink r:id="rId14" w:history="1">
              <w:r>
                <w:rPr>
                  <w:rStyle w:val="Hyperlink"/>
                </w:rPr>
                <w:t>kayne.coulter@enron.com</w:t>
              </w:r>
            </w:hyperlink>
          </w:p>
        </w:tc>
        <w:tc>
          <w:tcPr>
            <w:tcW w:w="2880" w:type="dxa"/>
            <w:vAlign w:val="center"/>
          </w:tcPr>
          <w:p w14:paraId="58EE2D48" w14:textId="2CB1F48A" w:rsidR="00C03F36" w:rsidRDefault="00C03F36" w:rsidP="00C03F36">
            <w:r>
              <w:t>2010-02-06</w:t>
            </w:r>
          </w:p>
        </w:tc>
        <w:tc>
          <w:tcPr>
            <w:tcW w:w="2880" w:type="dxa"/>
            <w:vAlign w:val="center"/>
          </w:tcPr>
          <w:p w14:paraId="444C1486" w14:textId="71950BAD" w:rsidR="00C03F36" w:rsidRDefault="00C03F36" w:rsidP="00C03F36">
            <w:r>
              <w:t>106</w:t>
            </w:r>
          </w:p>
        </w:tc>
      </w:tr>
      <w:tr w:rsidR="00C03F36" w14:paraId="674081B3" w14:textId="77777777" w:rsidTr="00C03F36">
        <w:tc>
          <w:tcPr>
            <w:tcW w:w="2938" w:type="dxa"/>
            <w:vAlign w:val="center"/>
          </w:tcPr>
          <w:p w14:paraId="0EE555C3" w14:textId="27AB8CC1" w:rsidR="00C03F36" w:rsidRDefault="00C03F36" w:rsidP="00C03F36">
            <w:hyperlink r:id="rId15" w:history="1">
              <w:r>
                <w:rPr>
                  <w:rStyle w:val="Hyperlink"/>
                </w:rPr>
                <w:t>lydia.delgado@enron.com</w:t>
              </w:r>
            </w:hyperlink>
          </w:p>
        </w:tc>
        <w:tc>
          <w:tcPr>
            <w:tcW w:w="2880" w:type="dxa"/>
            <w:vAlign w:val="center"/>
          </w:tcPr>
          <w:p w14:paraId="0F17C441" w14:textId="6BB76A2C" w:rsidR="00C03F36" w:rsidRDefault="00C03F36" w:rsidP="00C03F36">
            <w:r>
              <w:t>2010-10-10</w:t>
            </w:r>
          </w:p>
        </w:tc>
        <w:tc>
          <w:tcPr>
            <w:tcW w:w="2880" w:type="dxa"/>
            <w:vAlign w:val="center"/>
          </w:tcPr>
          <w:p w14:paraId="1DD09DC0" w14:textId="6C1D7426" w:rsidR="00C03F36" w:rsidRDefault="00C03F36" w:rsidP="00C03F36">
            <w:r>
              <w:t>150</w:t>
            </w:r>
          </w:p>
        </w:tc>
      </w:tr>
      <w:tr w:rsidR="00C03F36" w14:paraId="063E1278" w14:textId="77777777" w:rsidTr="00C03F36">
        <w:tc>
          <w:tcPr>
            <w:tcW w:w="2938" w:type="dxa"/>
            <w:vAlign w:val="center"/>
          </w:tcPr>
          <w:p w14:paraId="30BC9DA6" w14:textId="611409FF" w:rsidR="00C03F36" w:rsidRDefault="00C03F36" w:rsidP="00C03F36">
            <w:hyperlink r:id="rId16" w:history="1">
              <w:r>
                <w:rPr>
                  <w:rStyle w:val="Hyperlink"/>
                </w:rPr>
                <w:t>patti.thompson@enron.com</w:t>
              </w:r>
            </w:hyperlink>
          </w:p>
        </w:tc>
        <w:tc>
          <w:tcPr>
            <w:tcW w:w="2880" w:type="dxa"/>
            <w:vAlign w:val="center"/>
          </w:tcPr>
          <w:p w14:paraId="4EF8B92D" w14:textId="4B521C28" w:rsidR="00C03F36" w:rsidRDefault="00C03F36" w:rsidP="00C03F36">
            <w:r>
              <w:t>2010-01-12</w:t>
            </w:r>
          </w:p>
        </w:tc>
        <w:tc>
          <w:tcPr>
            <w:tcW w:w="2880" w:type="dxa"/>
            <w:vAlign w:val="center"/>
          </w:tcPr>
          <w:p w14:paraId="36E4E551" w14:textId="62E56528" w:rsidR="00C03F36" w:rsidRDefault="00C03F36" w:rsidP="00C03F36">
            <w:r>
              <w:t>126</w:t>
            </w:r>
          </w:p>
        </w:tc>
      </w:tr>
      <w:tr w:rsidR="00C03F36" w14:paraId="6D1D5250" w14:textId="77777777" w:rsidTr="00C03F36">
        <w:tc>
          <w:tcPr>
            <w:tcW w:w="2938" w:type="dxa"/>
            <w:vAlign w:val="center"/>
          </w:tcPr>
          <w:p w14:paraId="1657485C" w14:textId="1C5454CB" w:rsidR="00C03F36" w:rsidRDefault="00C03F36" w:rsidP="00C03F36">
            <w:hyperlink r:id="rId17" w:history="1">
              <w:r>
                <w:rPr>
                  <w:rStyle w:val="Hyperlink"/>
                </w:rPr>
                <w:t>rhonda.denton@enron.com</w:t>
              </w:r>
            </w:hyperlink>
          </w:p>
        </w:tc>
        <w:tc>
          <w:tcPr>
            <w:tcW w:w="2880" w:type="dxa"/>
            <w:vAlign w:val="center"/>
          </w:tcPr>
          <w:p w14:paraId="2D7F9ED4" w14:textId="10DAC21C" w:rsidR="00C03F36" w:rsidRDefault="00C03F36" w:rsidP="00C03F36">
            <w:r>
              <w:t>2010-04-09</w:t>
            </w:r>
          </w:p>
        </w:tc>
        <w:tc>
          <w:tcPr>
            <w:tcW w:w="2880" w:type="dxa"/>
            <w:vAlign w:val="center"/>
          </w:tcPr>
          <w:p w14:paraId="13FD07B4" w14:textId="6D9C50F7" w:rsidR="00C03F36" w:rsidRDefault="00C03F36" w:rsidP="00C03F36">
            <w:r>
              <w:t>109</w:t>
            </w:r>
          </w:p>
        </w:tc>
      </w:tr>
      <w:tr w:rsidR="00C03F36" w14:paraId="4378A016" w14:textId="77777777" w:rsidTr="00C03F36">
        <w:tc>
          <w:tcPr>
            <w:tcW w:w="2938" w:type="dxa"/>
            <w:vAlign w:val="center"/>
          </w:tcPr>
          <w:p w14:paraId="18EBC3AC" w14:textId="0DA18022" w:rsidR="00C03F36" w:rsidRDefault="00C03F36" w:rsidP="00C03F36">
            <w:hyperlink r:id="rId18" w:history="1">
              <w:r>
                <w:rPr>
                  <w:rStyle w:val="Hyperlink"/>
                </w:rPr>
                <w:t>sally.beck@enron.com</w:t>
              </w:r>
            </w:hyperlink>
          </w:p>
        </w:tc>
        <w:tc>
          <w:tcPr>
            <w:tcW w:w="2880" w:type="dxa"/>
            <w:vAlign w:val="center"/>
          </w:tcPr>
          <w:p w14:paraId="27BE53A9" w14:textId="02D983CA" w:rsidR="00C03F36" w:rsidRDefault="00C03F36" w:rsidP="00C03F36">
            <w:r>
              <w:t>2010-05-13</w:t>
            </w:r>
          </w:p>
        </w:tc>
        <w:tc>
          <w:tcPr>
            <w:tcW w:w="2880" w:type="dxa"/>
            <w:vAlign w:val="center"/>
          </w:tcPr>
          <w:p w14:paraId="4B9C3A62" w14:textId="685B30A4" w:rsidR="00C03F36" w:rsidRDefault="00C03F36" w:rsidP="00C03F36">
            <w:r>
              <w:t>125</w:t>
            </w:r>
          </w:p>
        </w:tc>
      </w:tr>
    </w:tbl>
    <w:p w14:paraId="05A247B5" w14:textId="77777777" w:rsidR="00873365" w:rsidRDefault="00000000">
      <w:pPr>
        <w:pStyle w:val="Heading1"/>
      </w:pPr>
      <w:r>
        <w:lastRenderedPageBreak/>
        <w:t>5. Predictive Modeling (Linear Regression)</w:t>
      </w:r>
    </w:p>
    <w:p w14:paraId="3DA5AAD1" w14:textId="77777777" w:rsidR="00873365" w:rsidRDefault="00000000">
      <w:r>
        <w:t>Target: monthly sentiment score per employee. Features included message volume, text length, sentiment composition (counts/ratios), activity breadth (active days), weekend share, and a lag-1 score to capture momentum. We used a time-aware split (last ~20% months as test) to avoid leakage, and Ridge regression for stability.</w:t>
      </w:r>
    </w:p>
    <w:p w14:paraId="1796F962" w14:textId="77777777" w:rsidR="00873365" w:rsidRDefault="00000000">
      <w:r>
        <w:t>Test Performance:</w:t>
      </w:r>
      <w:r>
        <w:br/>
        <w:t>R²: 1.000 | MAE: 0.044 | RMSE: 0.056</w:t>
      </w:r>
    </w:p>
    <w:p w14:paraId="15E9D5D5" w14:textId="77777777" w:rsidR="00873365" w:rsidRDefault="00000000">
      <w:r>
        <w:t>Approximate standardized coefficients (larger magnitude = stronger influence):</w:t>
      </w:r>
    </w:p>
    <w:tbl>
      <w:tblPr>
        <w:tblW w:w="0" w:type="auto"/>
        <w:tblLook w:val="04A0" w:firstRow="1" w:lastRow="0" w:firstColumn="1" w:lastColumn="0" w:noHBand="0" w:noVBand="1"/>
      </w:tblPr>
      <w:tblGrid>
        <w:gridCol w:w="4320"/>
        <w:gridCol w:w="4320"/>
      </w:tblGrid>
      <w:tr w:rsidR="00873365" w14:paraId="1A18ADE9" w14:textId="77777777">
        <w:tc>
          <w:tcPr>
            <w:tcW w:w="4320" w:type="dxa"/>
          </w:tcPr>
          <w:p w14:paraId="46BD0CD1" w14:textId="77777777" w:rsidR="00873365" w:rsidRDefault="00000000">
            <w:r>
              <w:t>Feature</w:t>
            </w:r>
          </w:p>
        </w:tc>
        <w:tc>
          <w:tcPr>
            <w:tcW w:w="4320" w:type="dxa"/>
          </w:tcPr>
          <w:p w14:paraId="5DA18FDB" w14:textId="77777777" w:rsidR="00873365" w:rsidRDefault="00000000">
            <w:r>
              <w:t>Std. Coefficient</w:t>
            </w:r>
          </w:p>
        </w:tc>
      </w:tr>
      <w:tr w:rsidR="00873365" w14:paraId="152EDD91" w14:textId="77777777">
        <w:tc>
          <w:tcPr>
            <w:tcW w:w="4320" w:type="dxa"/>
          </w:tcPr>
          <w:p w14:paraId="3FD485F5" w14:textId="77777777" w:rsidR="00873365" w:rsidRDefault="00000000">
            <w:r>
              <w:t>pos_count</w:t>
            </w:r>
          </w:p>
        </w:tc>
        <w:tc>
          <w:tcPr>
            <w:tcW w:w="4320" w:type="dxa"/>
          </w:tcPr>
          <w:p w14:paraId="5723D853" w14:textId="77777777" w:rsidR="00873365" w:rsidRDefault="00000000">
            <w:r>
              <w:t>2.9292</w:t>
            </w:r>
          </w:p>
        </w:tc>
      </w:tr>
      <w:tr w:rsidR="00873365" w14:paraId="51B2C02E" w14:textId="77777777">
        <w:tc>
          <w:tcPr>
            <w:tcW w:w="4320" w:type="dxa"/>
          </w:tcPr>
          <w:p w14:paraId="41F6CF5B" w14:textId="77777777" w:rsidR="00873365" w:rsidRDefault="00000000">
            <w:r>
              <w:t>neu_count</w:t>
            </w:r>
          </w:p>
        </w:tc>
        <w:tc>
          <w:tcPr>
            <w:tcW w:w="4320" w:type="dxa"/>
          </w:tcPr>
          <w:p w14:paraId="347D9B12" w14:textId="77777777" w:rsidR="00873365" w:rsidRDefault="00000000">
            <w:r>
              <w:t>0.0530</w:t>
            </w:r>
          </w:p>
        </w:tc>
      </w:tr>
      <w:tr w:rsidR="00873365" w14:paraId="59CC92E4" w14:textId="77777777">
        <w:tc>
          <w:tcPr>
            <w:tcW w:w="4320" w:type="dxa"/>
          </w:tcPr>
          <w:p w14:paraId="518378DB" w14:textId="77777777" w:rsidR="00873365" w:rsidRDefault="00000000">
            <w:r>
              <w:t>avg_len_words</w:t>
            </w:r>
          </w:p>
        </w:tc>
        <w:tc>
          <w:tcPr>
            <w:tcW w:w="4320" w:type="dxa"/>
          </w:tcPr>
          <w:p w14:paraId="3BC042B9" w14:textId="77777777" w:rsidR="00873365" w:rsidRDefault="00000000">
            <w:r>
              <w:t>0.0245</w:t>
            </w:r>
          </w:p>
        </w:tc>
      </w:tr>
      <w:tr w:rsidR="00873365" w14:paraId="3781CCA7" w14:textId="77777777">
        <w:tc>
          <w:tcPr>
            <w:tcW w:w="4320" w:type="dxa"/>
          </w:tcPr>
          <w:p w14:paraId="182C0CF2" w14:textId="77777777" w:rsidR="00873365" w:rsidRDefault="00000000">
            <w:r>
              <w:t>pos_ratio</w:t>
            </w:r>
          </w:p>
        </w:tc>
        <w:tc>
          <w:tcPr>
            <w:tcW w:w="4320" w:type="dxa"/>
          </w:tcPr>
          <w:p w14:paraId="6CF96AC4" w14:textId="77777777" w:rsidR="00873365" w:rsidRDefault="00000000">
            <w:r>
              <w:t>0.0175</w:t>
            </w:r>
          </w:p>
        </w:tc>
      </w:tr>
      <w:tr w:rsidR="00873365" w14:paraId="5781EE3F" w14:textId="77777777">
        <w:tc>
          <w:tcPr>
            <w:tcW w:w="4320" w:type="dxa"/>
          </w:tcPr>
          <w:p w14:paraId="0994E86E" w14:textId="77777777" w:rsidR="00873365" w:rsidRDefault="00000000">
            <w:r>
              <w:t>weekend_share</w:t>
            </w:r>
          </w:p>
        </w:tc>
        <w:tc>
          <w:tcPr>
            <w:tcW w:w="4320" w:type="dxa"/>
          </w:tcPr>
          <w:p w14:paraId="30A57B8F" w14:textId="77777777" w:rsidR="00873365" w:rsidRDefault="00000000">
            <w:r>
              <w:t>0.0059</w:t>
            </w:r>
          </w:p>
        </w:tc>
      </w:tr>
      <w:tr w:rsidR="00873365" w14:paraId="7D07266D" w14:textId="77777777">
        <w:tc>
          <w:tcPr>
            <w:tcW w:w="4320" w:type="dxa"/>
          </w:tcPr>
          <w:p w14:paraId="2E9DC3CD" w14:textId="77777777" w:rsidR="00873365" w:rsidRDefault="00000000">
            <w:r>
              <w:t>lag1_score</w:t>
            </w:r>
          </w:p>
        </w:tc>
        <w:tc>
          <w:tcPr>
            <w:tcW w:w="4320" w:type="dxa"/>
          </w:tcPr>
          <w:p w14:paraId="756D4BF0" w14:textId="77777777" w:rsidR="00873365" w:rsidRDefault="00000000">
            <w:r>
              <w:t>0.0021</w:t>
            </w:r>
          </w:p>
        </w:tc>
      </w:tr>
      <w:tr w:rsidR="00873365" w14:paraId="0C4C6405" w14:textId="77777777">
        <w:tc>
          <w:tcPr>
            <w:tcW w:w="4320" w:type="dxa"/>
          </w:tcPr>
          <w:p w14:paraId="165A27B3" w14:textId="77777777" w:rsidR="00873365" w:rsidRDefault="00000000">
            <w:r>
              <w:t>avg_len_chars</w:t>
            </w:r>
          </w:p>
        </w:tc>
        <w:tc>
          <w:tcPr>
            <w:tcW w:w="4320" w:type="dxa"/>
          </w:tcPr>
          <w:p w14:paraId="1BB1BA7F" w14:textId="77777777" w:rsidR="00873365" w:rsidRDefault="00000000">
            <w:r>
              <w:t>-0.0136</w:t>
            </w:r>
          </w:p>
        </w:tc>
      </w:tr>
      <w:tr w:rsidR="00873365" w14:paraId="5ED6144B" w14:textId="77777777">
        <w:tc>
          <w:tcPr>
            <w:tcW w:w="4320" w:type="dxa"/>
          </w:tcPr>
          <w:p w14:paraId="69A5CB09" w14:textId="77777777" w:rsidR="00873365" w:rsidRDefault="00000000">
            <w:r>
              <w:t>max_len_words</w:t>
            </w:r>
          </w:p>
        </w:tc>
        <w:tc>
          <w:tcPr>
            <w:tcW w:w="4320" w:type="dxa"/>
          </w:tcPr>
          <w:p w14:paraId="186B1374" w14:textId="77777777" w:rsidR="00873365" w:rsidRDefault="00000000">
            <w:r>
              <w:t>-0.0141</w:t>
            </w:r>
          </w:p>
        </w:tc>
      </w:tr>
      <w:tr w:rsidR="00873365" w14:paraId="0E239AC3" w14:textId="77777777">
        <w:tc>
          <w:tcPr>
            <w:tcW w:w="4320" w:type="dxa"/>
          </w:tcPr>
          <w:p w14:paraId="55D56234" w14:textId="77777777" w:rsidR="00873365" w:rsidRDefault="00000000">
            <w:r>
              <w:t>neg_ratio</w:t>
            </w:r>
          </w:p>
        </w:tc>
        <w:tc>
          <w:tcPr>
            <w:tcW w:w="4320" w:type="dxa"/>
          </w:tcPr>
          <w:p w14:paraId="76254060" w14:textId="77777777" w:rsidR="00873365" w:rsidRDefault="00000000">
            <w:r>
              <w:t>-0.0331</w:t>
            </w:r>
          </w:p>
        </w:tc>
      </w:tr>
      <w:tr w:rsidR="00873365" w14:paraId="5FAC447B" w14:textId="77777777">
        <w:tc>
          <w:tcPr>
            <w:tcW w:w="4320" w:type="dxa"/>
          </w:tcPr>
          <w:p w14:paraId="06F4F64C" w14:textId="77777777" w:rsidR="00873365" w:rsidRDefault="00000000">
            <w:r>
              <w:t>active_days</w:t>
            </w:r>
          </w:p>
        </w:tc>
        <w:tc>
          <w:tcPr>
            <w:tcW w:w="4320" w:type="dxa"/>
          </w:tcPr>
          <w:p w14:paraId="7E9971B6" w14:textId="77777777" w:rsidR="00873365" w:rsidRDefault="00000000">
            <w:r>
              <w:t>-0.0501</w:t>
            </w:r>
          </w:p>
        </w:tc>
      </w:tr>
      <w:tr w:rsidR="00873365" w14:paraId="3B794DF2" w14:textId="77777777">
        <w:tc>
          <w:tcPr>
            <w:tcW w:w="4320" w:type="dxa"/>
          </w:tcPr>
          <w:p w14:paraId="6ECC1C24" w14:textId="77777777" w:rsidR="00873365" w:rsidRDefault="00000000">
            <w:r>
              <w:t>msg_count</w:t>
            </w:r>
          </w:p>
        </w:tc>
        <w:tc>
          <w:tcPr>
            <w:tcW w:w="4320" w:type="dxa"/>
          </w:tcPr>
          <w:p w14:paraId="27607BC7" w14:textId="77777777" w:rsidR="00873365" w:rsidRDefault="00000000">
            <w:r>
              <w:t>-0.5571</w:t>
            </w:r>
          </w:p>
        </w:tc>
      </w:tr>
      <w:tr w:rsidR="00873365" w14:paraId="3F4D6F94" w14:textId="77777777">
        <w:tc>
          <w:tcPr>
            <w:tcW w:w="4320" w:type="dxa"/>
          </w:tcPr>
          <w:p w14:paraId="37B00FC9" w14:textId="77777777" w:rsidR="00873365" w:rsidRDefault="00000000">
            <w:r>
              <w:t>neg_count</w:t>
            </w:r>
          </w:p>
        </w:tc>
        <w:tc>
          <w:tcPr>
            <w:tcW w:w="4320" w:type="dxa"/>
          </w:tcPr>
          <w:p w14:paraId="785A67CF" w14:textId="77777777" w:rsidR="00873365" w:rsidRDefault="00000000">
            <w:r>
              <w:t>-3.1345</w:t>
            </w:r>
          </w:p>
        </w:tc>
      </w:tr>
    </w:tbl>
    <w:p w14:paraId="18BE5284" w14:textId="77777777" w:rsidR="00873365" w:rsidRDefault="00000000">
      <w:r>
        <w:br/>
        <w:t>Figure 4: Predicted vs. Actual Monthly Sentiment Scores</w:t>
      </w:r>
    </w:p>
    <w:p w14:paraId="58704BF2" w14:textId="77777777" w:rsidR="00873365" w:rsidRDefault="00000000">
      <w:r>
        <w:rPr>
          <w:noProof/>
        </w:rPr>
        <w:lastRenderedPageBreak/>
        <w:drawing>
          <wp:inline distT="0" distB="0" distL="0" distR="0" wp14:anchorId="456258F3" wp14:editId="68FB4601">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_vs_actual.png"/>
                    <pic:cNvPicPr/>
                  </pic:nvPicPr>
                  <pic:blipFill>
                    <a:blip r:embed="rId19"/>
                    <a:stretch>
                      <a:fillRect/>
                    </a:stretch>
                  </pic:blipFill>
                  <pic:spPr>
                    <a:xfrm>
                      <a:off x="0" y="0"/>
                      <a:ext cx="4572000" cy="4572000"/>
                    </a:xfrm>
                    <a:prstGeom prst="rect">
                      <a:avLst/>
                    </a:prstGeom>
                  </pic:spPr>
                </pic:pic>
              </a:graphicData>
            </a:graphic>
          </wp:inline>
        </w:drawing>
      </w:r>
    </w:p>
    <w:p w14:paraId="671E7361" w14:textId="77777777" w:rsidR="00873365" w:rsidRDefault="00000000">
      <w:pPr>
        <w:pStyle w:val="Heading1"/>
      </w:pPr>
      <w:r>
        <w:t>6. Conclusion</w:t>
      </w:r>
    </w:p>
    <w:p w14:paraId="163D42BB" w14:textId="77777777" w:rsidR="00873365" w:rsidRDefault="00000000">
      <w:r>
        <w:t>We established a reproducible pipeline for sentiment analysis across emails, producing clear EDA insights, monthly employee scoring and rankings, robust rolling-window flight-risk flags, and an interpretable predictive model. This framework can be enhanced with richer metadata (role, team, seniority), topic modeling, network features, and more advanced models to improve forecasting accuracy.</w:t>
      </w:r>
    </w:p>
    <w:sectPr w:rsidR="00873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939862">
    <w:abstractNumId w:val="8"/>
  </w:num>
  <w:num w:numId="2" w16cid:durableId="1576739701">
    <w:abstractNumId w:val="6"/>
  </w:num>
  <w:num w:numId="3" w16cid:durableId="668557715">
    <w:abstractNumId w:val="5"/>
  </w:num>
  <w:num w:numId="4" w16cid:durableId="70586456">
    <w:abstractNumId w:val="4"/>
  </w:num>
  <w:num w:numId="5" w16cid:durableId="109205446">
    <w:abstractNumId w:val="7"/>
  </w:num>
  <w:num w:numId="6" w16cid:durableId="1654990710">
    <w:abstractNumId w:val="3"/>
  </w:num>
  <w:num w:numId="7" w16cid:durableId="1360354773">
    <w:abstractNumId w:val="2"/>
  </w:num>
  <w:num w:numId="8" w16cid:durableId="2079741462">
    <w:abstractNumId w:val="1"/>
  </w:num>
  <w:num w:numId="9" w16cid:durableId="107593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442"/>
    <w:rsid w:val="00651C7C"/>
    <w:rsid w:val="00711133"/>
    <w:rsid w:val="0074002D"/>
    <w:rsid w:val="00873365"/>
    <w:rsid w:val="008C74EB"/>
    <w:rsid w:val="00AA1D8D"/>
    <w:rsid w:val="00B47730"/>
    <w:rsid w:val="00C03F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F81E6"/>
  <w14:defaultImageDpi w14:val="300"/>
  <w15:docId w15:val="{C28D3D56-B85F-4FB5-9327-4422FCD3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C03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ohnny.palmer@enron.com" TargetMode="External"/><Relationship Id="rId18" Type="http://schemas.openxmlformats.org/officeDocument/2006/relationships/hyperlink" Target="mailto:sally.beck@enron.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john.arnold@enron.com" TargetMode="External"/><Relationship Id="rId17" Type="http://schemas.openxmlformats.org/officeDocument/2006/relationships/hyperlink" Target="mailto:rhonda.denton@enron.com" TargetMode="External"/><Relationship Id="rId2" Type="http://schemas.openxmlformats.org/officeDocument/2006/relationships/numbering" Target="numbering.xml"/><Relationship Id="rId16" Type="http://schemas.openxmlformats.org/officeDocument/2006/relationships/hyperlink" Target="mailto:patti.thompson@enr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eric.bass@enron.com" TargetMode="External"/><Relationship Id="rId5" Type="http://schemas.openxmlformats.org/officeDocument/2006/relationships/webSettings" Target="webSettings.xml"/><Relationship Id="rId15" Type="http://schemas.openxmlformats.org/officeDocument/2006/relationships/hyperlink" Target="mailto:lydia.delgado@enron.com" TargetMode="External"/><Relationship Id="rId10" Type="http://schemas.openxmlformats.org/officeDocument/2006/relationships/hyperlink" Target="mailto:don.baughman@enron.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bobette.riner@ipgdirect.com" TargetMode="External"/><Relationship Id="rId14" Type="http://schemas.openxmlformats.org/officeDocument/2006/relationships/hyperlink" Target="mailto:kayne.coulter@en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Srivastava</cp:lastModifiedBy>
  <cp:revision>3</cp:revision>
  <dcterms:created xsi:type="dcterms:W3CDTF">2013-12-23T23:15:00Z</dcterms:created>
  <dcterms:modified xsi:type="dcterms:W3CDTF">2025-08-28T11:14:00Z</dcterms:modified>
  <cp:category/>
</cp:coreProperties>
</file>