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CLOUD COMPUTING LAB06</w:t>
      </w: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Name: Drishti.</w:t>
      </w: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Roll No.: 1928228</w:t>
      </w: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Date: 09/02/2022</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Q: For five user bases with 170 request per user base and 4 data centers for the service broker policy( closest data centre, optimize response time and reconsider dynamically), use all  three load balancing algorithms (Round robin, Equally spread current execution load and Throttled)  and analyze the performance based on average response time. </w:t>
      </w:r>
    </w:p>
    <w:p>
      <w:pPr>
        <w:rPr>
          <w:rFonts w:hint="default" w:ascii="Times New Roman" w:hAnsi="Times New Roman" w:cs="Times New Roman"/>
          <w:sz w:val="32"/>
          <w:szCs w:val="32"/>
          <w:lang w:val="en-IN"/>
        </w:rPr>
      </w:pPr>
    </w:p>
    <w:p>
      <w:pPr>
        <w:rPr>
          <w:rFonts w:hint="default"/>
          <w:lang w:val="en-IN"/>
        </w:rPr>
      </w:pPr>
    </w:p>
    <w:p>
      <w:r>
        <w:drawing>
          <wp:inline distT="0" distB="0" distL="114300" distR="114300">
            <wp:extent cx="6638925" cy="41948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38925" cy="4194810"/>
                    </a:xfrm>
                    <a:prstGeom prst="rect">
                      <a:avLst/>
                    </a:prstGeom>
                    <a:noFill/>
                    <a:ln>
                      <a:noFill/>
                    </a:ln>
                  </pic:spPr>
                </pic:pic>
              </a:graphicData>
            </a:graphic>
          </wp:inline>
        </w:drawing>
      </w:r>
    </w:p>
    <w:p>
      <w:r>
        <w:drawing>
          <wp:inline distT="0" distB="0" distL="114300" distR="114300">
            <wp:extent cx="6638290" cy="4157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8290" cy="4157980"/>
                    </a:xfrm>
                    <a:prstGeom prst="rect">
                      <a:avLst/>
                    </a:prstGeom>
                    <a:noFill/>
                    <a:ln>
                      <a:noFill/>
                    </a:ln>
                  </pic:spPr>
                </pic:pic>
              </a:graphicData>
            </a:graphic>
          </wp:inline>
        </w:drawing>
      </w:r>
    </w:p>
    <w:p/>
    <w:p/>
    <w:p>
      <w:pPr>
        <w:rPr>
          <w:rFonts w:hint="default"/>
          <w:lang w:val="en-IN"/>
        </w:rPr>
      </w:pPr>
      <w:r>
        <w:drawing>
          <wp:inline distT="0" distB="0" distL="114300" distR="114300">
            <wp:extent cx="6639560" cy="4366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639560" cy="4366260"/>
                    </a:xfrm>
                    <a:prstGeom prst="rect">
                      <a:avLst/>
                    </a:prstGeom>
                    <a:noFill/>
                    <a:ln>
                      <a:noFill/>
                    </a:ln>
                  </pic:spPr>
                </pic:pic>
              </a:graphicData>
            </a:graphic>
          </wp:inline>
        </w:drawing>
      </w:r>
    </w:p>
    <w:p>
      <w:pPr>
        <w:rPr>
          <w:rFonts w:hint="default"/>
          <w:lang w:val="en-IN"/>
        </w:rPr>
      </w:pPr>
    </w:p>
    <w:p>
      <w:pPr>
        <w:numPr>
          <w:ilvl w:val="0"/>
          <w:numId w:val="0"/>
        </w:numPr>
        <w:rPr>
          <w:rFonts w:hint="default" w:ascii="Times New Roman" w:hAnsi="Times New Roman" w:cs="Times New Roman"/>
          <w:sz w:val="32"/>
          <w:szCs w:val="32"/>
          <w:lang w:val="en-IN"/>
        </w:rPr>
      </w:pPr>
      <w:r>
        <w:rPr>
          <w:rFonts w:hint="default" w:ascii="Times New Roman" w:hAnsi="Times New Roman" w:cs="Times New Roman"/>
          <w:sz w:val="32"/>
          <w:szCs w:val="32"/>
          <w:lang w:val="en-IN"/>
        </w:rPr>
        <w:t>Under all broker policies: comparison of all load balancing algorithms (Round Robin, Equally spread current execution load and Throttled)</w:t>
      </w:r>
    </w:p>
    <w:p>
      <w:pPr>
        <w:numPr>
          <w:ilvl w:val="0"/>
          <w:numId w:val="0"/>
        </w:numPr>
      </w:pPr>
    </w:p>
    <w:p>
      <w:pPr>
        <w:numPr>
          <w:ilvl w:val="0"/>
          <w:numId w:val="0"/>
        </w:numPr>
        <w:rPr>
          <w:rFonts w:hint="default" w:ascii="Times New Roman" w:hAnsi="Times New Roman" w:cs="Times New Roman"/>
          <w:sz w:val="32"/>
          <w:szCs w:val="32"/>
          <w:lang w:val="en-IN"/>
        </w:rPr>
      </w:pPr>
      <w:r>
        <w:drawing>
          <wp:anchor distT="0" distB="0" distL="114300" distR="114300" simplePos="0" relativeHeight="251659264" behindDoc="1" locked="0" layoutInCell="1" allowOverlap="1">
            <wp:simplePos x="0" y="0"/>
            <wp:positionH relativeFrom="column">
              <wp:posOffset>356870</wp:posOffset>
            </wp:positionH>
            <wp:positionV relativeFrom="paragraph">
              <wp:posOffset>41910</wp:posOffset>
            </wp:positionV>
            <wp:extent cx="4896485" cy="2499995"/>
            <wp:effectExtent l="4445" t="4445" r="13970" b="10160"/>
            <wp:wrapTight wrapText="bothSides">
              <wp:wrapPolygon>
                <wp:start x="-20" y="-38"/>
                <wp:lineTo x="-20" y="21578"/>
                <wp:lineTo x="21550" y="21578"/>
                <wp:lineTo x="21550" y="-38"/>
                <wp:lineTo x="-20" y="-38"/>
              </wp:wrapPolygon>
            </wp:wrapTight>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hint="default" w:ascii="Times New Roman" w:hAnsi="Times New Roman" w:cs="Times New Roman"/>
          <w:sz w:val="32"/>
          <w:szCs w:val="32"/>
          <w:lang w:val="en-IN"/>
        </w:rPr>
        <w:t>1)</w:t>
      </w:r>
    </w:p>
    <w:p>
      <w:pPr>
        <w:numPr>
          <w:ilvl w:val="0"/>
          <w:numId w:val="0"/>
        </w:num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drawing>
          <wp:anchor distT="0" distB="0" distL="114300" distR="114300" simplePos="0" relativeHeight="251660288" behindDoc="0" locked="0" layoutInCell="1" allowOverlap="1">
            <wp:simplePos x="0" y="0"/>
            <wp:positionH relativeFrom="column">
              <wp:posOffset>360680</wp:posOffset>
            </wp:positionH>
            <wp:positionV relativeFrom="paragraph">
              <wp:posOffset>123190</wp:posOffset>
            </wp:positionV>
            <wp:extent cx="4893310" cy="2650490"/>
            <wp:effectExtent l="4445" t="4445" r="17145" b="12065"/>
            <wp:wrapNone/>
            <wp:docPr id="1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ascii="Times New Roman" w:hAnsi="Times New Roman" w:cs="Times New Roman"/>
          <w:sz w:val="32"/>
          <w:szCs w:val="32"/>
          <w:lang w:val="en-IN"/>
        </w:rPr>
      </w:pPr>
      <w:r>
        <w:rPr>
          <w:rFonts w:hint="default" w:ascii="Times New Roman" w:hAnsi="Times New Roman" w:cs="Times New Roman"/>
          <w:sz w:val="32"/>
          <w:szCs w:val="32"/>
          <w:lang w:val="en-IN"/>
        </w:rPr>
        <w:t>2)</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drawing>
          <wp:anchor distT="0" distB="0" distL="114300" distR="114300" simplePos="0" relativeHeight="251661312" behindDoc="1" locked="0" layoutInCell="1" allowOverlap="1">
            <wp:simplePos x="0" y="0"/>
            <wp:positionH relativeFrom="column">
              <wp:posOffset>391160</wp:posOffset>
            </wp:positionH>
            <wp:positionV relativeFrom="paragraph">
              <wp:posOffset>142240</wp:posOffset>
            </wp:positionV>
            <wp:extent cx="4919980" cy="2903220"/>
            <wp:effectExtent l="4445" t="4445" r="15875" b="13335"/>
            <wp:wrapTight wrapText="bothSides">
              <wp:wrapPolygon>
                <wp:start x="-20" y="-33"/>
                <wp:lineTo x="-20" y="21510"/>
                <wp:lineTo x="21558" y="21510"/>
                <wp:lineTo x="21558" y="-33"/>
                <wp:lineTo x="-20" y="-33"/>
              </wp:wrapPolygon>
            </wp:wrapTight>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ascii="Times New Roman" w:hAnsi="Times New Roman" w:cs="Times New Roman"/>
          <w:sz w:val="32"/>
          <w:szCs w:val="32"/>
          <w:lang w:val="en-IN"/>
        </w:rPr>
      </w:pPr>
      <w:r>
        <w:rPr>
          <w:rFonts w:hint="default" w:ascii="Times New Roman" w:hAnsi="Times New Roman" w:cs="Times New Roman"/>
          <w:sz w:val="32"/>
          <w:szCs w:val="32"/>
          <w:lang w:val="en-IN"/>
        </w:rPr>
        <w:t>3)</w:t>
      </w:r>
    </w:p>
    <w:p>
      <w:pPr>
        <w:numPr>
          <w:ilvl w:val="0"/>
          <w:numId w:val="0"/>
        </w:numPr>
        <w:rPr>
          <w:rFonts w:hint="default"/>
          <w:lang w:val="en-IN"/>
        </w:rPr>
      </w:pPr>
      <w:bookmarkStart w:id="0" w:name="_GoBack"/>
      <w:bookmarkEnd w:id="0"/>
    </w:p>
    <w:sectPr>
      <w:pgSz w:w="12240" w:h="15840"/>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5130D"/>
    <w:rsid w:val="15A61BE6"/>
    <w:rsid w:val="273311E3"/>
    <w:rsid w:val="28DE1682"/>
    <w:rsid w:val="619411F8"/>
    <w:rsid w:val="77412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IIT\Desktop\6th%20Sem\CC%20lab\submissions\CCLABREADING.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IIT\Desktop\6th%20Sem\CC%20lab\submissions\CCLABREADING.csv"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IIT\Desktop\6th%20Sem\CC%20lab\submissions\CCLABREADING.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Broker policy: </a:t>
            </a:r>
            <a:r>
              <a:rPr lang="en-IN" altLang="en-US"/>
              <a:t>Closest Data Centre</a:t>
            </a:r>
            <a:endParaRPr lang="en-IN" altLang="en-US"/>
          </a:p>
        </c:rich>
      </c:tx>
      <c:layout/>
      <c:overlay val="0"/>
      <c:spPr>
        <a:noFill/>
        <a:ln>
          <a:noFill/>
        </a:ln>
        <a:effectLst/>
      </c:spPr>
    </c:title>
    <c:autoTitleDeleted val="0"/>
    <c:plotArea>
      <c:layout/>
      <c:lineChart>
        <c:grouping val="standard"/>
        <c:varyColors val="0"/>
        <c:ser>
          <c:idx val="0"/>
          <c:order val="0"/>
          <c:tx>
            <c:strRef>
              <c:f>[CCLABREADING.csv]Sheet1!$B$91</c:f>
              <c:strCache>
                <c:ptCount val="1"/>
                <c:pt idx="0">
                  <c:v>Overall Avg Resp. 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[CCLABREADING.csv]Sheet1!$A$92:$A$94</c:f>
              <c:strCache>
                <c:ptCount val="3"/>
                <c:pt idx="0">
                  <c:v>RR</c:v>
                </c:pt>
                <c:pt idx="1">
                  <c:v>EQ</c:v>
                </c:pt>
                <c:pt idx="2">
                  <c:v>TH</c:v>
                </c:pt>
              </c:strCache>
            </c:strRef>
          </c:cat>
          <c:val>
            <c:numRef>
              <c:f>[CCLABREADING.csv]Sheet1!$B$92:$B$94</c:f>
              <c:numCache>
                <c:formatCode>General</c:formatCode>
                <c:ptCount val="3"/>
                <c:pt idx="0">
                  <c:v>101.29</c:v>
                </c:pt>
                <c:pt idx="1" c:formatCode="0.00_ ">
                  <c:v>101.36</c:v>
                </c:pt>
                <c:pt idx="2">
                  <c:v>101.35</c:v>
                </c:pt>
              </c:numCache>
            </c:numRef>
          </c:val>
          <c:smooth val="0"/>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640308550"/>
        <c:axId val="302917730"/>
      </c:lineChart>
      <c:catAx>
        <c:axId val="64030855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2917730"/>
        <c:crosses val="autoZero"/>
        <c:auto val="1"/>
        <c:lblAlgn val="ctr"/>
        <c:lblOffset val="100"/>
        <c:noMultiLvlLbl val="0"/>
      </c:catAx>
      <c:valAx>
        <c:axId val="30291773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(in ms)</a:t>
                </a:r>
                <a:endParaRPr lang="en-IN" altLang="en-US"/>
              </a:p>
            </c:rich>
          </c:tx>
          <c:layout>
            <c:manualLayout>
              <c:xMode val="edge"/>
              <c:yMode val="edge"/>
              <c:x val="0.024510439631695"/>
              <c:y val="0.47442214884429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4030855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Broker policy: </a:t>
            </a:r>
            <a:r>
              <a:rPr lang="en-IN" altLang="en-US"/>
              <a:t>Optimize Response Time</a:t>
            </a:r>
            <a:endParaRPr lang="en-IN" altLang="en-US"/>
          </a:p>
        </c:rich>
      </c:tx>
      <c:layout/>
      <c:overlay val="0"/>
      <c:spPr>
        <a:noFill/>
        <a:ln>
          <a:noFill/>
        </a:ln>
        <a:effectLst/>
      </c:spPr>
    </c:title>
    <c:autoTitleDeleted val="0"/>
    <c:plotArea>
      <c:layout/>
      <c:lineChart>
        <c:grouping val="standard"/>
        <c:varyColors val="0"/>
        <c:ser>
          <c:idx val="0"/>
          <c:order val="0"/>
          <c:tx>
            <c:strRef>
              <c:f>Sheet1!$B$80</c:f>
              <c:strCache>
                <c:ptCount val="1"/>
                <c:pt idx="0">
                  <c:v>Overall Avg Resp. 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Sheet1!$A$81:$A$83</c:f>
              <c:strCache>
                <c:ptCount val="3"/>
                <c:pt idx="0">
                  <c:v>RR</c:v>
                </c:pt>
                <c:pt idx="1">
                  <c:v>EQ</c:v>
                </c:pt>
                <c:pt idx="2">
                  <c:v>TH</c:v>
                </c:pt>
              </c:strCache>
            </c:strRef>
          </c:cat>
          <c:val>
            <c:numRef>
              <c:f>Sheet1!$B$81:$B$83</c:f>
              <c:numCache>
                <c:formatCode>General</c:formatCode>
                <c:ptCount val="3"/>
                <c:pt idx="0">
                  <c:v>101.34</c:v>
                </c:pt>
                <c:pt idx="1" c:formatCode="0.00_ ">
                  <c:v>101.3</c:v>
                </c:pt>
                <c:pt idx="2">
                  <c:v>101.41</c:v>
                </c:pt>
              </c:numCache>
            </c:numRef>
          </c:val>
          <c:smooth val="0"/>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476464286"/>
        <c:axId val="746369196"/>
      </c:lineChart>
      <c:catAx>
        <c:axId val="47646428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46369196"/>
        <c:crosses val="autoZero"/>
        <c:auto val="1"/>
        <c:lblAlgn val="ctr"/>
        <c:lblOffset val="100"/>
        <c:noMultiLvlLbl val="0"/>
      </c:catAx>
      <c:valAx>
        <c:axId val="7463691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(in ms)</a:t>
                </a:r>
                <a:endParaRPr lang="en-I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646428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ltLang="en-US"/>
              <a:t>Broker policy: Reconfigure Dynamically </a:t>
            </a:r>
            <a:endParaRPr lang="en-IN" altLang="en-US"/>
          </a:p>
        </c:rich>
      </c:tx>
      <c:layout/>
      <c:overlay val="0"/>
      <c:spPr>
        <a:noFill/>
        <a:ln>
          <a:noFill/>
        </a:ln>
        <a:effectLst/>
      </c:spPr>
    </c:title>
    <c:autoTitleDeleted val="0"/>
    <c:plotArea>
      <c:layout>
        <c:manualLayout>
          <c:layoutTarget val="inner"/>
          <c:xMode val="edge"/>
          <c:yMode val="edge"/>
          <c:x val="0.342244154168683"/>
          <c:y val="0.233224755700326"/>
          <c:w val="0.652917916465086"/>
          <c:h val="0.543843648208469"/>
        </c:manualLayout>
      </c:layout>
      <c:lineChart>
        <c:grouping val="standard"/>
        <c:varyColors val="0"/>
        <c:ser>
          <c:idx val="0"/>
          <c:order val="0"/>
          <c:tx>
            <c:strRef>
              <c:f>[CCLABREADING.csv]Sheet1!$B$68</c:f>
              <c:strCache>
                <c:ptCount val="1"/>
                <c:pt idx="0">
                  <c:v>Overall Avg Resp. 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[CCLABREADING.csv]Sheet1!$A$69:$A$71</c:f>
              <c:strCache>
                <c:ptCount val="3"/>
                <c:pt idx="0">
                  <c:v>RR</c:v>
                </c:pt>
                <c:pt idx="1">
                  <c:v>EQ</c:v>
                </c:pt>
                <c:pt idx="2">
                  <c:v>TH</c:v>
                </c:pt>
              </c:strCache>
            </c:strRef>
          </c:cat>
          <c:val>
            <c:numRef>
              <c:f>[CCLABREADING.csv]Sheet1!$B$69:$B$71</c:f>
              <c:numCache>
                <c:formatCode>General</c:formatCode>
                <c:ptCount val="3"/>
                <c:pt idx="0">
                  <c:v>104.02</c:v>
                </c:pt>
                <c:pt idx="1">
                  <c:v>101.87</c:v>
                </c:pt>
                <c:pt idx="2">
                  <c:v>101.91</c:v>
                </c:pt>
              </c:numCache>
            </c:numRef>
          </c:val>
          <c:smooth val="0"/>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711457679"/>
        <c:axId val="354108860"/>
      </c:lineChart>
      <c:catAx>
        <c:axId val="7114576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4108860"/>
        <c:crosses val="autoZero"/>
        <c:auto val="1"/>
        <c:lblAlgn val="ctr"/>
        <c:lblOffset val="100"/>
        <c:noMultiLvlLbl val="0"/>
      </c:catAx>
      <c:valAx>
        <c:axId val="3541088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endParaRPr lang="en-IN" altLang="en-US"/>
              </a:p>
              <a:p>
                <a:pPr defTabSz="914400">
                  <a:defRPr lang="en-US" sz="1000" b="0" i="0" u="none" strike="noStrike" kern="1200" baseline="0">
                    <a:solidFill>
                      <a:schemeClr val="tx1">
                        <a:lumMod val="65000"/>
                        <a:lumOff val="35000"/>
                      </a:schemeClr>
                    </a:solidFill>
                    <a:latin typeface="+mn-lt"/>
                    <a:ea typeface="+mn-ea"/>
                    <a:cs typeface="+mn-cs"/>
                  </a:defRPr>
                </a:pPr>
                <a:r>
                  <a:rPr lang="en-IN" altLang="en-US"/>
                  <a:t>(in ms)</a:t>
                </a:r>
                <a:endParaRPr lang="en-IN" altLang="en-US" sz="700">
                  <a:latin typeface="Times New Roman" panose="02020603050405020304" charset="0"/>
                  <a:cs typeface="Times New Roman" panose="02020603050405020304" charset="0"/>
                </a:endParaRPr>
              </a:p>
            </c:rich>
          </c:tx>
          <c:layout>
            <c:manualLayout>
              <c:xMode val="edge"/>
              <c:yMode val="edge"/>
              <c:x val="0.00465116279069767"/>
              <c:y val="0.37384473535703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1145767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2022-02-09T03:59:00Z</dcterms:created>
  <dc:creator>KIIT</dc:creator>
  <cp:lastModifiedBy>Drishti</cp:lastModifiedBy>
  <dcterms:modified xsi:type="dcterms:W3CDTF">2022-02-09T10:37:27Z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0A32C2976F58416996135B11520EB4BA</vt:lpwstr>
  </property>
</Properties>
</file>