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00"/>
      </w:pPr>
    </w:p>
    <w:p>
      <w:pPr>
        <w:pStyle w:val="Title"/>
        <w:jc w:val="center"/>
      </w:pPr>
      <w:r>
        <w:t>GigMatch AI</w:t>
      </w:r>
    </w:p>
    <w:p>
      <w:pPr>
        <w:pStyle w:val="Subtitle"/>
        <w:jc w:val="center"/>
      </w:pPr>
      <w:r>
        <w:t>Complete Architecture, AI Pipeline, Marketplace Workflow, Security and Verification Guide</w:t>
      </w:r>
    </w:p>
    <w:p>
      <w:pPr>
        <w:spacing w:after="440"/>
      </w:pPr>
    </w:p>
    <w:p>
      <w:pPr>
        <w:jc w:val="center"/>
      </w:pPr>
      <w:r>
        <w:rPr>
          <w:b/>
          <w:color w:val="1F4D78"/>
          <w:sz w:val="24"/>
        </w:rPr>
        <w:t>Final-Year Engineering Project Presentation</w:t>
      </w:r>
    </w:p>
    <w:p>
      <w:pPr>
        <w:jc w:val="center"/>
      </w:pPr>
      <w:r>
        <w:t>Repository evidence reviewed: GigMatch AI local workspace • August 2026</w:t>
      </w:r>
    </w:p>
    <w:p>
      <w:pPr>
        <w:spacing w:after="700"/>
      </w:pP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2880"/>
            <w:shd w:fill="E8EEF5"/>
            <w:tcMar>
              <w:top w:w="80" w:type="dxa"/>
              <w:start w:w="120" w:type="dxa"/>
              <w:bottom w:w="80" w:type="dxa"/>
              <w:end w:w="120" w:type="dxa"/>
            </w:tcMar>
            <w:vAlign w:val="center"/>
          </w:tcPr>
          <w:p>
            <w:pPr>
              <w:spacing w:after="0"/>
            </w:pPr>
            <w:r>
              <w:rPr>
                <w:b/>
                <w:color w:val="0B2545"/>
                <w:sz w:val="19"/>
              </w:rPr>
              <w:t>Document includes</w:t>
            </w:r>
          </w:p>
        </w:tc>
        <w:tc>
          <w:tcPr>
            <w:tcW w:type="dxa" w:w="6480"/>
            <w:shd w:fill="E8EEF5"/>
            <w:tcMar>
              <w:top w:w="80" w:type="dxa"/>
              <w:start w:w="120" w:type="dxa"/>
              <w:bottom w:w="80" w:type="dxa"/>
              <w:end w:w="120" w:type="dxa"/>
            </w:tcMar>
            <w:vAlign w:val="center"/>
          </w:tcPr>
          <w:p>
            <w:pPr>
              <w:spacing w:after="0"/>
            </w:pPr>
            <w:r>
              <w:rPr>
                <w:b/>
                <w:color w:val="0B2545"/>
                <w:sz w:val="19"/>
              </w:rPr>
              <w:t>Purpose</w:t>
            </w:r>
          </w:p>
        </w:tc>
      </w:tr>
      <w:tr>
        <w:trPr>
          <w:cantSplit/>
        </w:trPr>
        <w:tc>
          <w:tcPr>
            <w:tcW w:type="dxa" w:w="2880"/>
            <w:tcMar>
              <w:top w:w="80" w:type="dxa"/>
              <w:start w:w="120" w:type="dxa"/>
              <w:bottom w:w="80" w:type="dxa"/>
              <w:end w:w="120" w:type="dxa"/>
            </w:tcMar>
            <w:vAlign w:val="center"/>
          </w:tcPr>
          <w:p>
            <w:pPr>
              <w:spacing w:after="0" w:line="264" w:lineRule="auto"/>
            </w:pPr>
            <w:r>
              <w:rPr>
                <w:color w:val="0B2545"/>
                <w:sz w:val="18"/>
              </w:rPr>
              <w:t>Technical project guide</w:t>
            </w:r>
          </w:p>
        </w:tc>
        <w:tc>
          <w:tcPr>
            <w:tcW w:type="dxa" w:w="6480"/>
            <w:tcMar>
              <w:top w:w="80" w:type="dxa"/>
              <w:start w:w="120" w:type="dxa"/>
              <w:bottom w:w="80" w:type="dxa"/>
              <w:end w:w="120" w:type="dxa"/>
            </w:tcMar>
            <w:vAlign w:val="center"/>
          </w:tcPr>
          <w:p>
            <w:pPr>
              <w:spacing w:after="0" w:line="264" w:lineRule="auto"/>
            </w:pPr>
            <w:r>
              <w:rPr>
                <w:color w:val="0B2545"/>
                <w:sz w:val="18"/>
              </w:rPr>
              <w:t>Architecture, backend, AI, database, frontend and Milestones 0–7</w:t>
            </w:r>
          </w:p>
        </w:tc>
      </w:tr>
      <w:tr>
        <w:trPr>
          <w:cantSplit/>
        </w:trPr>
        <w:tc>
          <w:tcPr>
            <w:tcW w:type="dxa" w:w="2880"/>
            <w:tcMar>
              <w:top w:w="80" w:type="dxa"/>
              <w:start w:w="120" w:type="dxa"/>
              <w:bottom w:w="80" w:type="dxa"/>
              <w:end w:w="120" w:type="dxa"/>
            </w:tcMar>
            <w:vAlign w:val="center"/>
          </w:tcPr>
          <w:p>
            <w:pPr>
              <w:spacing w:after="0" w:line="264" w:lineRule="auto"/>
            </w:pPr>
            <w:r>
              <w:rPr>
                <w:color w:val="0B2545"/>
                <w:sz w:val="18"/>
              </w:rPr>
              <w:t>12–15 minute speaking script</w:t>
            </w:r>
          </w:p>
        </w:tc>
        <w:tc>
          <w:tcPr>
            <w:tcW w:type="dxa" w:w="6480"/>
            <w:tcMar>
              <w:top w:w="80" w:type="dxa"/>
              <w:start w:w="120" w:type="dxa"/>
              <w:bottom w:w="80" w:type="dxa"/>
              <w:end w:w="120" w:type="dxa"/>
            </w:tcMar>
            <w:vAlign w:val="center"/>
          </w:tcPr>
          <w:p>
            <w:pPr>
              <w:spacing w:after="0" w:line="264" w:lineRule="auto"/>
            </w:pPr>
            <w:r>
              <w:rPr>
                <w:color w:val="0B2545"/>
                <w:sz w:val="18"/>
              </w:rPr>
              <w:t>Natural faculty-presentation wording</w:t>
            </w:r>
          </w:p>
        </w:tc>
      </w:tr>
      <w:tr>
        <w:trPr>
          <w:cantSplit/>
        </w:trPr>
        <w:tc>
          <w:tcPr>
            <w:tcW w:type="dxa" w:w="2880"/>
            <w:tcMar>
              <w:top w:w="80" w:type="dxa"/>
              <w:start w:w="120" w:type="dxa"/>
              <w:bottom w:w="80" w:type="dxa"/>
              <w:end w:w="120" w:type="dxa"/>
            </w:tcMar>
            <w:vAlign w:val="center"/>
          </w:tcPr>
          <w:p>
            <w:pPr>
              <w:spacing w:after="0" w:line="264" w:lineRule="auto"/>
            </w:pPr>
            <w:r>
              <w:rPr>
                <w:color w:val="0B2545"/>
                <w:sz w:val="18"/>
              </w:rPr>
              <w:t>Faculty viva guide</w:t>
            </w:r>
          </w:p>
        </w:tc>
        <w:tc>
          <w:tcPr>
            <w:tcW w:type="dxa" w:w="6480"/>
            <w:tcMar>
              <w:top w:w="80" w:type="dxa"/>
              <w:start w:w="120" w:type="dxa"/>
              <w:bottom w:w="80" w:type="dxa"/>
              <w:end w:w="120" w:type="dxa"/>
            </w:tcMar>
            <w:vAlign w:val="center"/>
          </w:tcPr>
          <w:p>
            <w:pPr>
              <w:spacing w:after="0" w:line="264" w:lineRule="auto"/>
            </w:pPr>
            <w:r>
              <w:rPr>
                <w:color w:val="0B2545"/>
                <w:sz w:val="18"/>
              </w:rPr>
              <w:t>Concise answers to likely technical questions</w:t>
            </w:r>
          </w:p>
        </w:tc>
      </w:tr>
      <w:tr>
        <w:trPr>
          <w:cantSplit/>
        </w:trPr>
        <w:tc>
          <w:tcPr>
            <w:tcW w:type="dxa" w:w="2880"/>
            <w:tcMar>
              <w:top w:w="80" w:type="dxa"/>
              <w:start w:w="120" w:type="dxa"/>
              <w:bottom w:w="80" w:type="dxa"/>
              <w:end w:w="120" w:type="dxa"/>
            </w:tcMar>
            <w:vAlign w:val="center"/>
          </w:tcPr>
          <w:p>
            <w:pPr>
              <w:spacing w:after="0" w:line="264" w:lineRule="auto"/>
            </w:pPr>
            <w:r>
              <w:rPr>
                <w:color w:val="0B2545"/>
                <w:sz w:val="18"/>
              </w:rPr>
              <w:t>Repository citations</w:t>
            </w:r>
          </w:p>
        </w:tc>
        <w:tc>
          <w:tcPr>
            <w:tcW w:type="dxa" w:w="6480"/>
            <w:tcMar>
              <w:top w:w="80" w:type="dxa"/>
              <w:start w:w="120" w:type="dxa"/>
              <w:bottom w:w="80" w:type="dxa"/>
              <w:end w:w="120" w:type="dxa"/>
            </w:tcMar>
            <w:vAlign w:val="center"/>
          </w:tcPr>
          <w:p>
            <w:pPr>
              <w:spacing w:after="0" w:line="264" w:lineRule="auto"/>
            </w:pPr>
            <w:r>
              <w:rPr>
                <w:color w:val="0B2545"/>
                <w:sz w:val="18"/>
              </w:rPr>
              <w:t>Implementation, migration, test and closure evidence</w:t>
            </w:r>
          </w:p>
        </w:tc>
      </w:tr>
    </w:tbl>
    <w:p>
      <w:pPr>
        <w:spacing w:after="20"/>
      </w:pPr>
    </w:p>
    <w:p>
      <w:r>
        <w:t>Scope note: This document intentionally excludes the compressed 7–8 minute script and the three-minute emergency summary.</w:t>
      </w:r>
    </w:p>
    <w:p>
      <w:r>
        <w:br w:type="page"/>
      </w:r>
    </w:p>
    <w:p>
      <w:pPr>
        <w:pStyle w:val="Heading1"/>
      </w:pPr>
      <w:r>
        <w:t>Contents</w:t>
      </w:r>
    </w:p>
    <w:p>
      <w:pPr>
        <w:spacing w:after="80"/>
        <w:ind w:left="360" w:hanging="360"/>
      </w:pPr>
      <w:r>
        <w:t>1.  Project introduction</w:t>
      </w:r>
    </w:p>
    <w:p>
      <w:pPr>
        <w:spacing w:after="80"/>
        <w:ind w:left="360" w:hanging="360"/>
      </w:pPr>
      <w:r>
        <w:t>2.  Complete system architecture</w:t>
      </w:r>
    </w:p>
    <w:p>
      <w:pPr>
        <w:spacing w:after="80"/>
        <w:ind w:left="360" w:hanging="360"/>
      </w:pPr>
      <w:r>
        <w:t>3.  Backend folder walkthrough</w:t>
      </w:r>
    </w:p>
    <w:p>
      <w:pPr>
        <w:spacing w:after="80"/>
        <w:ind w:left="360" w:hanging="360"/>
      </w:pPr>
      <w:r>
        <w:t>4.  Development journey: Milestone 0 to Milestone 7</w:t>
      </w:r>
    </w:p>
    <w:p>
      <w:pPr>
        <w:spacing w:after="80"/>
        <w:ind w:left="360" w:hanging="360"/>
      </w:pPr>
      <w:r>
        <w:t>5.  AI matching pipeline in depth</w:t>
      </w:r>
    </w:p>
    <w:p>
      <w:pPr>
        <w:spacing w:after="80"/>
        <w:ind w:left="360" w:hanging="360"/>
      </w:pPr>
      <w:r>
        <w:t>6.  Complete Milestone 7 explanation</w:t>
      </w:r>
    </w:p>
    <w:p>
      <w:pPr>
        <w:spacing w:after="80"/>
        <w:ind w:left="360" w:hanging="360"/>
      </w:pPr>
      <w:r>
        <w:t>7.  Relevant frontend architecture</w:t>
      </w:r>
    </w:p>
    <w:p>
      <w:pPr>
        <w:spacing w:after="80"/>
        <w:ind w:left="360" w:hanging="360"/>
      </w:pPr>
      <w:r>
        <w:t>8.  Technical differentiators</w:t>
      </w:r>
    </w:p>
    <w:p>
      <w:pPr>
        <w:spacing w:after="80"/>
        <w:ind w:left="360" w:hanging="360"/>
      </w:pPr>
      <w:r>
        <w:t>9.  Verification and engineering quality</w:t>
      </w:r>
    </w:p>
    <w:p>
      <w:pPr>
        <w:spacing w:after="80"/>
        <w:ind w:left="360" w:hanging="360"/>
      </w:pPr>
      <w:r>
        <w:t>10.  Detailed 12–15 minute speaking script</w:t>
      </w:r>
    </w:p>
    <w:p>
      <w:pPr>
        <w:spacing w:after="80"/>
        <w:ind w:left="360" w:hanging="360"/>
      </w:pPr>
      <w:r>
        <w:t>11.  Faculty viva questions</w:t>
      </w:r>
    </w:p>
    <w:p>
      <w:r>
        <w:br w:type="page"/>
      </w:r>
    </w:p>
    <w:p>
      <w:pPr>
        <w:pStyle w:val="Heading1"/>
      </w:pPr>
      <w:r>
        <w:t>1. Project introduction</w:t>
      </w:r>
    </w:p>
    <w:p>
      <w:r>
        <w:t>GigMatch AI is a developer-focused freelance marketplace prototype that connects freelancers, students and developers with relevant technical gigs. It combines explainable suitability matching with a controlled workflow from gig publication through application, review, selection, engagement and secure contact exchange.</w:t>
      </w:r>
    </w:p>
    <w:p>
      <w:pPr>
        <w:pStyle w:val="Heading2"/>
      </w:pPr>
      <w:r>
        <w:t>Users and the problem it solves</w:t>
      </w:r>
    </w:p>
    <w:p>
      <w:pPr>
        <w:pStyle w:val="ListBullet"/>
      </w:pPr>
      <w:r>
        <w:t>Freelancers create structured profiles, review parsed resumes, discover gigs, receive recommendations, submit versioned proposals, answer structured questions, respond to selection requests and manage engagements.</w:t>
      </w:r>
    </w:p>
    <w:p>
      <w:pPr>
        <w:pStyle w:val="ListBullet"/>
      </w:pPr>
      <w:r>
        <w:t>Clients publish structured gigs, review parsed descriptions, compare real applicants, inspect suitability evidence, request clarifications or revisions, select one applicant and manage the resulting engagement.</w:t>
      </w:r>
    </w:p>
    <w:p>
      <w:pPr>
        <w:pStyle w:val="ListBullet"/>
      </w:pPr>
      <w:r>
        <w:t>The system reduces manual comparison of unstructured resumes and gig descriptions while preserving the exact terms that users reviewed and accepted.</w:t>
      </w:r>
    </w:p>
    <w:p>
      <w:pPr>
        <w:pStyle w:val="Heading2"/>
      </w:pPr>
      <w:r>
        <w:t>Why it is more than CRUD</w:t>
      </w:r>
    </w:p>
    <w:p>
      <w:pPr>
        <w:pStyle w:val="ListBullet"/>
      </w:pPr>
      <w:r>
        <w:t>Deterministic resume and gig parsing with reviewed persistence.</w:t>
      </w:r>
    </w:p>
    <w:p>
      <w:pPr>
        <w:pStyle w:val="ListBullet"/>
      </w:pPr>
      <w:r>
        <w:t>Keyword, semantic and hybrid suitability ranking.</w:t>
      </w:r>
    </w:p>
    <w:p>
      <w:pPr>
        <w:pStyle w:val="ListBullet"/>
      </w:pPr>
      <w:r>
        <w:t>Evidence-based explanations and required/preferred skill gaps.</w:t>
      </w:r>
    </w:p>
    <w:p>
      <w:pPr>
        <w:pStyle w:val="ListBullet"/>
      </w:pPr>
      <w:r>
        <w:t>Immutable gig and application histories.</w:t>
      </w:r>
    </w:p>
    <w:p>
      <w:pPr>
        <w:pStyle w:val="ListBullet"/>
      </w:pPr>
      <w:r>
        <w:t>Exact-version-bound selection and database-authoritative state machines.</w:t>
      </w:r>
    </w:p>
    <w:p>
      <w:pPr>
        <w:pStyle w:val="ListBullet"/>
      </w:pPr>
      <w:r>
        <w:t>Transactional idempotency, concurrency control and audit history.</w:t>
      </w:r>
    </w:p>
    <w:p>
      <w:pPr>
        <w:pStyle w:val="ListBullet"/>
      </w:pPr>
      <w:r>
        <w:t>Structured Q&amp;A rather than unrestricted chat.</w:t>
      </w:r>
    </w:p>
    <w:p>
      <w:pPr>
        <w:pStyle w:val="ListBullet"/>
      </w:pPr>
      <w:r>
        <w:t>Consent-based, encrypted contact exchange.</w:t>
      </w:r>
    </w:p>
    <w:p>
      <w:pPr>
        <w:pStyle w:val="Heading2"/>
      </w:pPr>
      <w:r>
        <w:t>Responsibility boundaries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2880"/>
            <w:shd w:fill="E8EEF5"/>
            <w:tcMar>
              <w:top w:w="80" w:type="dxa"/>
              <w:start w:w="120" w:type="dxa"/>
              <w:bottom w:w="80" w:type="dxa"/>
              <w:end w:w="120" w:type="dxa"/>
            </w:tcMar>
            <w:vAlign w:val="center"/>
          </w:tcPr>
          <w:p>
            <w:pPr>
              <w:spacing w:after="0"/>
            </w:pPr>
            <w:r>
              <w:rPr>
                <w:b/>
                <w:color w:val="0B2545"/>
                <w:sz w:val="19"/>
              </w:rPr>
              <w:t>Boundary</w:t>
            </w:r>
          </w:p>
        </w:tc>
        <w:tc>
          <w:tcPr>
            <w:tcW w:type="dxa" w:w="6480"/>
            <w:shd w:fill="E8EEF5"/>
            <w:tcMar>
              <w:top w:w="80" w:type="dxa"/>
              <w:start w:w="120" w:type="dxa"/>
              <w:bottom w:w="80" w:type="dxa"/>
              <w:end w:w="120" w:type="dxa"/>
            </w:tcMar>
            <w:vAlign w:val="center"/>
          </w:tcPr>
          <w:p>
            <w:pPr>
              <w:spacing w:after="0"/>
            </w:pPr>
            <w:r>
              <w:rPr>
                <w:b/>
                <w:color w:val="0B2545"/>
                <w:sz w:val="19"/>
              </w:rPr>
              <w:t>Responsibility</w:t>
            </w:r>
          </w:p>
        </w:tc>
      </w:tr>
      <w:tr>
        <w:trPr>
          <w:cantSplit/>
        </w:trPr>
        <w:tc>
          <w:tcPr>
            <w:tcW w:type="dxa" w:w="2880"/>
            <w:tcMar>
              <w:top w:w="80" w:type="dxa"/>
              <w:start w:w="120" w:type="dxa"/>
              <w:bottom w:w="80" w:type="dxa"/>
              <w:end w:w="120" w:type="dxa"/>
            </w:tcMar>
            <w:vAlign w:val="center"/>
          </w:tcPr>
          <w:p>
            <w:pPr>
              <w:spacing w:after="0" w:line="264" w:lineRule="auto"/>
            </w:pPr>
            <w:r>
              <w:rPr>
                <w:color w:val="0B2545"/>
                <w:sz w:val="18"/>
              </w:rPr>
              <w:t>AI intelligence</w:t>
            </w:r>
          </w:p>
        </w:tc>
        <w:tc>
          <w:tcPr>
            <w:tcW w:type="dxa" w:w="6480"/>
            <w:tcMar>
              <w:top w:w="80" w:type="dxa"/>
              <w:start w:w="120" w:type="dxa"/>
              <w:bottom w:w="80" w:type="dxa"/>
              <w:end w:w="120" w:type="dxa"/>
            </w:tcMar>
            <w:vAlign w:val="center"/>
          </w:tcPr>
          <w:p>
            <w:pPr>
              <w:spacing w:after="0" w:line="264" w:lineRule="auto"/>
            </w:pPr>
            <w:r>
              <w:rPr>
                <w:color w:val="0B2545"/>
                <w:sz w:val="18"/>
              </w:rPr>
              <w:t>Embedding generation and semantic similarity.</w:t>
            </w:r>
          </w:p>
        </w:tc>
      </w:tr>
      <w:tr>
        <w:trPr>
          <w:cantSplit/>
        </w:trPr>
        <w:tc>
          <w:tcPr>
            <w:tcW w:type="dxa" w:w="2880"/>
            <w:tcMar>
              <w:top w:w="80" w:type="dxa"/>
              <w:start w:w="120" w:type="dxa"/>
              <w:bottom w:w="80" w:type="dxa"/>
              <w:end w:w="120" w:type="dxa"/>
            </w:tcMar>
            <w:vAlign w:val="center"/>
          </w:tcPr>
          <w:p>
            <w:pPr>
              <w:spacing w:after="0" w:line="264" w:lineRule="auto"/>
            </w:pPr>
            <w:r>
              <w:rPr>
                <w:color w:val="0B2545"/>
                <w:sz w:val="18"/>
              </w:rPr>
              <w:t>Deterministic backend logic</w:t>
            </w:r>
          </w:p>
        </w:tc>
        <w:tc>
          <w:tcPr>
            <w:tcW w:type="dxa" w:w="6480"/>
            <w:tcMar>
              <w:top w:w="80" w:type="dxa"/>
              <w:start w:w="120" w:type="dxa"/>
              <w:bottom w:w="80" w:type="dxa"/>
              <w:end w:w="120" w:type="dxa"/>
            </w:tcMar>
            <w:vAlign w:val="center"/>
          </w:tcPr>
          <w:p>
            <w:pPr>
              <w:spacing w:after="0" w:line="264" w:lineRule="auto"/>
            </w:pPr>
            <w:r>
              <w:rPr>
                <w:color w:val="0B2545"/>
                <w:sz w:val="18"/>
              </w:rPr>
              <w:t>Parsing, keyword scores, hybrid arithmetic, explanations, contracts and policies.</w:t>
            </w:r>
          </w:p>
        </w:tc>
      </w:tr>
      <w:tr>
        <w:trPr>
          <w:cantSplit/>
        </w:trPr>
        <w:tc>
          <w:tcPr>
            <w:tcW w:type="dxa" w:w="2880"/>
            <w:tcMar>
              <w:top w:w="80" w:type="dxa"/>
              <w:start w:w="120" w:type="dxa"/>
              <w:bottom w:w="80" w:type="dxa"/>
              <w:end w:w="120" w:type="dxa"/>
            </w:tcMar>
            <w:vAlign w:val="center"/>
          </w:tcPr>
          <w:p>
            <w:pPr>
              <w:spacing w:after="0" w:line="264" w:lineRule="auto"/>
            </w:pPr>
            <w:r>
              <w:rPr>
                <w:color w:val="0B2545"/>
                <w:sz w:val="18"/>
              </w:rPr>
              <w:t>Database transaction/security logic</w:t>
            </w:r>
          </w:p>
        </w:tc>
        <w:tc>
          <w:tcPr>
            <w:tcW w:type="dxa" w:w="6480"/>
            <w:tcMar>
              <w:top w:w="80" w:type="dxa"/>
              <w:start w:w="120" w:type="dxa"/>
              <w:bottom w:w="80" w:type="dxa"/>
              <w:end w:w="120" w:type="dxa"/>
            </w:tcMar>
            <w:vAlign w:val="center"/>
          </w:tcPr>
          <w:p>
            <w:pPr>
              <w:spacing w:after="0" w:line="264" w:lineRule="auto"/>
            </w:pPr>
            <w:r>
              <w:rPr>
                <w:color w:val="0B2545"/>
                <w:sz w:val="18"/>
              </w:rPr>
              <w:t>RLS, immutable records, row locks, atomic RPCs and audit events.</w:t>
            </w:r>
          </w:p>
        </w:tc>
      </w:tr>
      <w:tr>
        <w:trPr>
          <w:cantSplit/>
        </w:trPr>
        <w:tc>
          <w:tcPr>
            <w:tcW w:type="dxa" w:w="2880"/>
            <w:tcMar>
              <w:top w:w="80" w:type="dxa"/>
              <w:start w:w="120" w:type="dxa"/>
              <w:bottom w:w="80" w:type="dxa"/>
              <w:end w:w="120" w:type="dxa"/>
            </w:tcMar>
            <w:vAlign w:val="center"/>
          </w:tcPr>
          <w:p>
            <w:pPr>
              <w:spacing w:after="0" w:line="264" w:lineRule="auto"/>
            </w:pPr>
            <w:r>
              <w:rPr>
                <w:color w:val="0B2545"/>
                <w:sz w:val="18"/>
              </w:rPr>
              <w:t>Frontend presentation logic</w:t>
            </w:r>
          </w:p>
        </w:tc>
        <w:tc>
          <w:tcPr>
            <w:tcW w:type="dxa" w:w="6480"/>
            <w:tcMar>
              <w:top w:w="80" w:type="dxa"/>
              <w:start w:w="120" w:type="dxa"/>
              <w:bottom w:w="80" w:type="dxa"/>
              <w:end w:w="120" w:type="dxa"/>
            </w:tcMar>
            <w:vAlign w:val="center"/>
          </w:tcPr>
          <w:p>
            <w:pPr>
              <w:spacing w:after="0" w:line="264" w:lineRule="auto"/>
            </w:pPr>
            <w:r>
              <w:rPr>
                <w:color w:val="0B2545"/>
                <w:sz w:val="18"/>
              </w:rPr>
              <w:t>Forms, routes, runtime guards, loading states and authorized-action rendering.</w:t>
            </w:r>
          </w:p>
        </w:tc>
      </w:tr>
    </w:tbl>
    <w:p>
      <w:pPr>
        <w:spacing w:after="20"/>
      </w:pPr>
    </w:p>
    <w:p>
      <w:pPr>
        <w:pStyle w:val="Heading2"/>
      </w:pPr>
      <w:r>
        <w:t>Official exclusions</w:t>
      </w:r>
    </w:p>
    <w:p>
      <w:r>
        <w:t>The repository does not claim payments, escrow, legal contracting, work delivery, general real-time chat, behavioral learning, production-scale vector retrieval, production-scale ranking improvement, or production deployment.</w:t>
      </w:r>
    </w:p>
    <w:p>
      <w:pPr>
        <w:pStyle w:val="Evidence"/>
      </w:pPr>
      <w:r>
        <w:t>Evidence: docs/architecture/README.md:L3-L15; docs/milestones.md:L111-L179; docs/verification/milestone-7-closure.md:L3-L14; docs/verification/milestone-7-closure.md:L59-L67</w:t>
      </w:r>
    </w:p>
    <w:p>
      <w:pPr>
        <w:pStyle w:val="Heading1"/>
      </w:pPr>
      <w:r>
        <w:t>2. Complete system architecture</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2232"/>
            <w:shd w:fill="E8EEF5"/>
            <w:tcMar>
              <w:top w:w="80" w:type="dxa"/>
              <w:start w:w="120" w:type="dxa"/>
              <w:bottom w:w="80" w:type="dxa"/>
              <w:end w:w="120" w:type="dxa"/>
            </w:tcMar>
            <w:vAlign w:val="center"/>
          </w:tcPr>
          <w:p>
            <w:pPr>
              <w:spacing w:after="0"/>
            </w:pPr>
            <w:r>
              <w:rPr>
                <w:b/>
                <w:color w:val="0B2545"/>
                <w:sz w:val="19"/>
              </w:rPr>
              <w:t>Layer</w:t>
            </w:r>
          </w:p>
        </w:tc>
        <w:tc>
          <w:tcPr>
            <w:tcW w:type="dxa" w:w="7128"/>
            <w:shd w:fill="E8EEF5"/>
            <w:tcMar>
              <w:top w:w="80" w:type="dxa"/>
              <w:start w:w="120" w:type="dxa"/>
              <w:bottom w:w="80" w:type="dxa"/>
              <w:end w:w="120" w:type="dxa"/>
            </w:tcMar>
            <w:vAlign w:val="center"/>
          </w:tcPr>
          <w:p>
            <w:pPr>
              <w:spacing w:after="0"/>
            </w:pPr>
            <w:r>
              <w:rPr>
                <w:b/>
                <w:color w:val="0B2545"/>
                <w:sz w:val="19"/>
              </w:rPr>
              <w:t>Technology and authority</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Presentation</w:t>
            </w:r>
          </w:p>
        </w:tc>
        <w:tc>
          <w:tcPr>
            <w:tcW w:type="dxa" w:w="7128"/>
            <w:tcMar>
              <w:top w:w="80" w:type="dxa"/>
              <w:start w:w="120" w:type="dxa"/>
              <w:bottom w:w="80" w:type="dxa"/>
              <w:end w:w="120" w:type="dxa"/>
            </w:tcMar>
            <w:vAlign w:val="center"/>
          </w:tcPr>
          <w:p>
            <w:pPr>
              <w:spacing w:after="0" w:line="264" w:lineRule="auto"/>
            </w:pPr>
            <w:r>
              <w:rPr>
                <w:color w:val="0B2545"/>
                <w:sz w:val="18"/>
              </w:rPr>
              <w:t>React, Vite, TypeScript and Tailwind; no authoritative marketplace state.</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API</w:t>
            </w:r>
          </w:p>
        </w:tc>
        <w:tc>
          <w:tcPr>
            <w:tcW w:type="dxa" w:w="7128"/>
            <w:tcMar>
              <w:top w:w="80" w:type="dxa"/>
              <w:start w:w="120" w:type="dxa"/>
              <w:bottom w:w="80" w:type="dxa"/>
              <w:end w:w="120" w:type="dxa"/>
            </w:tcMar>
            <w:vAlign w:val="center"/>
          </w:tcPr>
          <w:p>
            <w:pPr>
              <w:spacing w:after="0" w:line="264" w:lineRule="auto"/>
            </w:pPr>
            <w:r>
              <w:rPr>
                <w:color w:val="0B2545"/>
                <w:sz w:val="18"/>
              </w:rPr>
              <w:t>FastAPI routes, bearer-token verification and strict Pydantic request/response contracts.</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Domain/services</w:t>
            </w:r>
          </w:p>
        </w:tc>
        <w:tc>
          <w:tcPr>
            <w:tcW w:type="dxa" w:w="7128"/>
            <w:tcMar>
              <w:top w:w="80" w:type="dxa"/>
              <w:start w:w="120" w:type="dxa"/>
              <w:bottom w:w="80" w:type="dxa"/>
              <w:end w:w="120" w:type="dxa"/>
            </w:tcMar>
            <w:vAlign w:val="center"/>
          </w:tcPr>
          <w:p>
            <w:pPr>
              <w:spacing w:after="0" w:line="264" w:lineRule="auto"/>
            </w:pPr>
            <w:r>
              <w:rPr>
                <w:color w:val="0B2545"/>
                <w:sz w:val="18"/>
              </w:rPr>
              <w:t>Pure state machines, validation, ranking, sanitization and repository protocols.</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Identity/data</w:t>
            </w:r>
          </w:p>
        </w:tc>
        <w:tc>
          <w:tcPr>
            <w:tcW w:type="dxa" w:w="7128"/>
            <w:tcMar>
              <w:top w:w="80" w:type="dxa"/>
              <w:start w:w="120" w:type="dxa"/>
              <w:bottom w:w="80" w:type="dxa"/>
              <w:end w:w="120" w:type="dxa"/>
            </w:tcMar>
            <w:vAlign w:val="center"/>
          </w:tcPr>
          <w:p>
            <w:pPr>
              <w:spacing w:after="0" w:line="264" w:lineRule="auto"/>
            </w:pPr>
            <w:r>
              <w:rPr>
                <w:color w:val="0B2545"/>
                <w:sz w:val="18"/>
              </w:rPr>
              <w:t>Supabase Authentication and PostgreSQL.</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Security/transactions</w:t>
            </w:r>
          </w:p>
        </w:tc>
        <w:tc>
          <w:tcPr>
            <w:tcW w:type="dxa" w:w="7128"/>
            <w:tcMar>
              <w:top w:w="80" w:type="dxa"/>
              <w:start w:w="120" w:type="dxa"/>
              <w:bottom w:w="80" w:type="dxa"/>
              <w:end w:w="120" w:type="dxa"/>
            </w:tcMar>
            <w:vAlign w:val="center"/>
          </w:tcPr>
          <w:p>
            <w:pPr>
              <w:spacing w:after="0" w:line="264" w:lineRule="auto"/>
            </w:pPr>
            <w:r>
              <w:rPr>
                <w:color w:val="0B2545"/>
                <w:sz w:val="18"/>
              </w:rPr>
              <w:t>RLS, immutable versions, SECURITY DEFINER service-only RPCs, locks and audit history.</w:t>
            </w:r>
          </w:p>
        </w:tc>
      </w:tr>
    </w:tbl>
    <w:p>
      <w:pPr>
        <w:spacing w:after="20"/>
      </w:pPr>
    </w:p>
    <w:p>
      <w:pPr>
        <w:pStyle w:val="Heading2"/>
      </w:pPr>
      <w:r>
        <w:t>Request lifecycle: accepting a selection</w:t>
      </w:r>
    </w:p>
    <w:p>
      <w:pPr>
        <w:spacing w:after="80"/>
        <w:ind w:left="540" w:hanging="360"/>
      </w:pPr>
      <w:r>
        <w:t>1.  The frontend sends the response token and idempotency key with the current Supabase bearer token.</w:t>
      </w:r>
    </w:p>
    <w:p>
      <w:pPr>
        <w:spacing w:after="80"/>
        <w:ind w:left="540" w:hanging="360"/>
      </w:pPr>
      <w:r>
        <w:t>2.  FastAPI verifies the token and obtains the authenticated Supabase user.</w:t>
      </w:r>
    </w:p>
    <w:p>
      <w:pPr>
        <w:spacing w:after="80"/>
        <w:ind w:left="540" w:hanging="360"/>
      </w:pPr>
      <w:r>
        <w:t>3.  The backend resolves the trusted profile and role; browser-provided identity is never authority.</w:t>
      </w:r>
    </w:p>
    <w:p>
      <w:pPr>
        <w:spacing w:after="80"/>
        <w:ind w:left="540" w:hanging="360"/>
      </w:pPr>
      <w:r>
        <w:t>4.  Pydantic validates the action-specific payload.</w:t>
      </w:r>
    </w:p>
    <w:p>
      <w:pPr>
        <w:spacing w:after="80"/>
        <w:ind w:left="540" w:hanging="360"/>
      </w:pPr>
      <w:r>
        <w:t>5.  The repository calls the service-only selection RPC.</w:t>
      </w:r>
    </w:p>
    <w:p>
      <w:pPr>
        <w:spacing w:after="80"/>
        <w:ind w:left="540" w:hanging="360"/>
      </w:pPr>
      <w:r>
        <w:t>6.  PostgreSQL locks the selection, gig, application and related records in deterministic order.</w:t>
      </w:r>
    </w:p>
    <w:p>
      <w:pPr>
        <w:spacing w:after="80"/>
        <w:ind w:left="540" w:hanging="360"/>
      </w:pPr>
      <w:r>
        <w:t>7.  The RPC revalidates pending status, expiry, exact gig/application versions and the state-bound token.</w:t>
      </w:r>
    </w:p>
    <w:p>
      <w:pPr>
        <w:spacing w:after="80"/>
        <w:ind w:left="540" w:hanging="360"/>
      </w:pPr>
      <w:r>
        <w:t>8.  One transaction accepts the request, confirms the application, fills the gig, closes competitors and creates the engagement snapshot.</w:t>
      </w:r>
    </w:p>
    <w:p>
      <w:pPr>
        <w:spacing w:after="80"/>
        <w:ind w:left="540" w:hanging="360"/>
      </w:pPr>
      <w:r>
        <w:t>9.  The backend reloads and sanitizes the authoritative result.</w:t>
      </w:r>
    </w:p>
    <w:p>
      <w:pPr>
        <w:spacing w:after="80"/>
        <w:ind w:left="540" w:hanging="360"/>
      </w:pPr>
      <w:r>
        <w:t>10.  The frontend renders that state or reloads after a controlled conflict.</w:t>
      </w:r>
    </w:p>
    <w:p>
      <w:pPr>
        <w:pStyle w:val="Evidence"/>
      </w:pPr>
      <w:r>
        <w:t>Evidence: backend/app/main.py:L9-L30; backend/app/core/auth.py:L14-L96; backend/app/api/routes/selections.py:L50-L143; supabase/migrations/20260725173847_milestone_7g_selection_request_atomic_confirmation.sql:L620-L1176</w:t>
      </w:r>
    </w:p>
    <w:p>
      <w:pPr>
        <w:pStyle w:val="Heading1"/>
      </w:pPr>
      <w:r>
        <w:t>3. Backend folder walkthrough</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2232"/>
            <w:shd w:fill="E8EEF5"/>
            <w:tcMar>
              <w:top w:w="80" w:type="dxa"/>
              <w:start w:w="120" w:type="dxa"/>
              <w:bottom w:w="80" w:type="dxa"/>
              <w:end w:w="120" w:type="dxa"/>
            </w:tcMar>
            <w:vAlign w:val="center"/>
          </w:tcPr>
          <w:p>
            <w:pPr>
              <w:spacing w:after="0"/>
            </w:pPr>
            <w:r>
              <w:rPr>
                <w:b/>
                <w:color w:val="0B2545"/>
                <w:sz w:val="19"/>
              </w:rPr>
              <w:t>Module group</w:t>
            </w:r>
          </w:p>
        </w:tc>
        <w:tc>
          <w:tcPr>
            <w:tcW w:type="dxa" w:w="7128"/>
            <w:shd w:fill="E8EEF5"/>
            <w:tcMar>
              <w:top w:w="80" w:type="dxa"/>
              <w:start w:w="120" w:type="dxa"/>
              <w:bottom w:w="80" w:type="dxa"/>
              <w:end w:w="120" w:type="dxa"/>
            </w:tcMar>
            <w:vAlign w:val="center"/>
          </w:tcPr>
          <w:p>
            <w:pPr>
              <w:spacing w:after="0"/>
            </w:pPr>
            <w:r>
              <w:rPr>
                <w:b/>
                <w:color w:val="0B2545"/>
                <w:sz w:val="19"/>
              </w:rPr>
              <w:t>Responsibility and relationship</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app/main.py</w:t>
            </w:r>
          </w:p>
        </w:tc>
        <w:tc>
          <w:tcPr>
            <w:tcW w:type="dxa" w:w="7128"/>
            <w:tcMar>
              <w:top w:w="80" w:type="dxa"/>
              <w:start w:w="120" w:type="dxa"/>
              <w:bottom w:w="80" w:type="dxa"/>
              <w:end w:w="120" w:type="dxa"/>
            </w:tcMar>
            <w:vAlign w:val="center"/>
          </w:tcPr>
          <w:p>
            <w:pPr>
              <w:spacing w:after="0" w:line="264" w:lineRule="auto"/>
            </w:pPr>
            <w:r>
              <w:rPr>
                <w:color w:val="0B2545"/>
                <w:sz w:val="18"/>
              </w:rPr>
              <w:t>Application composition: CORS and registration of health, auth, profile, gig, application, review, Q&amp;A, selection, engagement, contact, dashboard, parsing, matching and evaluation routers.</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app/config.py</w:t>
            </w:r>
          </w:p>
        </w:tc>
        <w:tc>
          <w:tcPr>
            <w:tcW w:type="dxa" w:w="7128"/>
            <w:tcMar>
              <w:top w:w="80" w:type="dxa"/>
              <w:start w:w="120" w:type="dxa"/>
              <w:bottom w:w="80" w:type="dxa"/>
              <w:end w:w="120" w:type="dxa"/>
            </w:tcMar>
            <w:vAlign w:val="center"/>
          </w:tcPr>
          <w:p>
            <w:pPr>
              <w:spacing w:after="0" w:line="264" w:lineRule="auto"/>
            </w:pPr>
            <w:r>
              <w:rPr>
                <w:color w:val="0B2545"/>
                <w:sz w:val="18"/>
              </w:rPr>
              <w:t>Environment-backed runtime settings. It supplies infrastructure configuration, not user authority.</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app/core/auth.py</w:t>
            </w:r>
          </w:p>
        </w:tc>
        <w:tc>
          <w:tcPr>
            <w:tcW w:type="dxa" w:w="7128"/>
            <w:tcMar>
              <w:top w:w="80" w:type="dxa"/>
              <w:start w:w="120" w:type="dxa"/>
              <w:bottom w:w="80" w:type="dxa"/>
              <w:end w:w="120" w:type="dxa"/>
            </w:tcMar>
            <w:vAlign w:val="center"/>
          </w:tcPr>
          <w:p>
            <w:pPr>
              <w:spacing w:after="0" w:line="264" w:lineRule="auto"/>
            </w:pPr>
            <w:r>
              <w:rPr>
                <w:color w:val="0B2545"/>
                <w:sz w:val="18"/>
              </w:rPr>
              <w:t>Extracts bearer tokens, verifies users through Supabase and returns verified identity.</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app/api/routes</w:t>
            </w:r>
          </w:p>
        </w:tc>
        <w:tc>
          <w:tcPr>
            <w:tcW w:type="dxa" w:w="7128"/>
            <w:tcMar>
              <w:top w:w="80" w:type="dxa"/>
              <w:start w:w="120" w:type="dxa"/>
              <w:bottom w:w="80" w:type="dxa"/>
              <w:end w:w="120" w:type="dxa"/>
            </w:tcMar>
            <w:vAlign w:val="center"/>
          </w:tcPr>
          <w:p>
            <w:pPr>
              <w:spacing w:after="0" w:line="264" w:lineRule="auto"/>
            </w:pPr>
            <w:r>
              <w:rPr>
                <w:color w:val="0B2545"/>
                <w:sz w:val="18"/>
              </w:rPr>
              <w:t>HTTP boundary: dependencies, strict validation, role/ownership checks, repository calls, error mapping and sanitized DTOs.</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app/parsing</w:t>
            </w:r>
          </w:p>
        </w:tc>
        <w:tc>
          <w:tcPr>
            <w:tcW w:type="dxa" w:w="7128"/>
            <w:tcMar>
              <w:top w:w="80" w:type="dxa"/>
              <w:start w:w="120" w:type="dxa"/>
              <w:bottom w:w="80" w:type="dxa"/>
              <w:end w:w="120" w:type="dxa"/>
            </w:tcMar>
            <w:vAlign w:val="center"/>
          </w:tcPr>
          <w:p>
            <w:pPr>
              <w:spacing w:after="0" w:line="264" w:lineRule="auto"/>
            </w:pPr>
            <w:r>
              <w:rPr>
                <w:color w:val="0B2545"/>
                <w:sz w:val="18"/>
              </w:rPr>
              <w:t>Text normalization, curated taxonomy matching and deterministic skill extraction.</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app/services</w:t>
            </w:r>
          </w:p>
        </w:tc>
        <w:tc>
          <w:tcPr>
            <w:tcW w:type="dxa" w:w="7128"/>
            <w:tcMar>
              <w:top w:w="80" w:type="dxa"/>
              <w:start w:w="120" w:type="dxa"/>
              <w:bottom w:w="80" w:type="dxa"/>
              <w:end w:w="120" w:type="dxa"/>
            </w:tcMar>
            <w:vAlign w:val="center"/>
          </w:tcPr>
          <w:p>
            <w:pPr>
              <w:spacing w:after="0" w:line="264" w:lineRule="auto"/>
            </w:pPr>
            <w:r>
              <w:rPr>
                <w:color w:val="0B2545"/>
                <w:sz w:val="18"/>
              </w:rPr>
              <w:t>Bounded PDF/DOCX text extraction independent of persistence.</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app/matching</w:t>
            </w:r>
          </w:p>
        </w:tc>
        <w:tc>
          <w:tcPr>
            <w:tcW w:type="dxa" w:w="7128"/>
            <w:tcMar>
              <w:top w:w="80" w:type="dxa"/>
              <w:start w:w="120" w:type="dxa"/>
              <w:bottom w:w="80" w:type="dxa"/>
              <w:end w:w="120" w:type="dxa"/>
            </w:tcMar>
            <w:vAlign w:val="center"/>
          </w:tcPr>
          <w:p>
            <w:pPr>
              <w:spacing w:after="0" w:line="264" w:lineRule="auto"/>
            </w:pPr>
            <w:r>
              <w:rPr>
                <w:color w:val="0B2545"/>
                <w:sz w:val="18"/>
              </w:rPr>
              <w:t>Normalized entities, builders, keyword/semantic/hybrid rankers, explanations and matching data access.</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app/evaluation</w:t>
            </w:r>
          </w:p>
        </w:tc>
        <w:tc>
          <w:tcPr>
            <w:tcW w:type="dxa" w:w="7128"/>
            <w:tcMar>
              <w:top w:w="80" w:type="dxa"/>
              <w:start w:w="120" w:type="dxa"/>
              <w:bottom w:w="80" w:type="dxa"/>
              <w:end w:w="120" w:type="dxa"/>
            </w:tcMar>
            <w:vAlign w:val="center"/>
          </w:tcPr>
          <w:p>
            <w:pPr>
              <w:spacing w:after="0" w:line="264" w:lineRule="auto"/>
            </w:pPr>
            <w:r>
              <w:rPr>
                <w:color w:val="0B2545"/>
                <w:sz w:val="18"/>
              </w:rPr>
              <w:t>Fixture validation, relevance contracts, ranking metrics, strategy comparison and admin evaluation.</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app/marketplace</w:t>
            </w:r>
          </w:p>
        </w:tc>
        <w:tc>
          <w:tcPr>
            <w:tcW w:type="dxa" w:w="7128"/>
            <w:tcMar>
              <w:top w:w="80" w:type="dxa"/>
              <w:start w:w="120" w:type="dxa"/>
              <w:bottom w:w="80" w:type="dxa"/>
              <w:end w:w="120" w:type="dxa"/>
            </w:tcMar>
            <w:vAlign w:val="center"/>
          </w:tcPr>
          <w:p>
            <w:pPr>
              <w:spacing w:after="0" w:line="264" w:lineRule="auto"/>
            </w:pPr>
            <w:r>
              <w:rPr>
                <w:color w:val="0B2545"/>
                <w:sz w:val="18"/>
              </w:rPr>
              <w:t>Pure state machines, commercial contracts, request contracts, safe response builders, repositories, security policies and encryption.</w:t>
            </w:r>
          </w:p>
        </w:tc>
      </w:tr>
      <w:tr>
        <w:trPr>
          <w:cantSplit/>
        </w:trPr>
        <w:tc>
          <w:tcPr>
            <w:tcW w:type="dxa" w:w="2232"/>
            <w:tcMar>
              <w:top w:w="80" w:type="dxa"/>
              <w:start w:w="120" w:type="dxa"/>
              <w:bottom w:w="80" w:type="dxa"/>
              <w:end w:w="120" w:type="dxa"/>
            </w:tcMar>
            <w:vAlign w:val="center"/>
          </w:tcPr>
          <w:p>
            <w:pPr>
              <w:spacing w:after="0" w:line="264" w:lineRule="auto"/>
            </w:pPr>
            <w:r>
              <w:rPr>
                <w:color w:val="0B2545"/>
                <w:sz w:val="18"/>
              </w:rPr>
              <w:t>backend/tests</w:t>
            </w:r>
          </w:p>
        </w:tc>
        <w:tc>
          <w:tcPr>
            <w:tcW w:type="dxa" w:w="7128"/>
            <w:tcMar>
              <w:top w:w="80" w:type="dxa"/>
              <w:start w:w="120" w:type="dxa"/>
              <w:bottom w:w="80" w:type="dxa"/>
              <w:end w:w="120" w:type="dxa"/>
            </w:tcMar>
            <w:vAlign w:val="center"/>
          </w:tcPr>
          <w:p>
            <w:pPr>
              <w:spacing w:after="0" w:line="264" w:lineRule="auto"/>
            </w:pPr>
            <w:r>
              <w:rPr>
                <w:color w:val="0B2545"/>
                <w:sz w:val="18"/>
              </w:rPr>
              <w:t>Unit/API contract coverage using fakes plus intentional opt-in Supabase smoke tests.</w:t>
            </w:r>
          </w:p>
        </w:tc>
      </w:tr>
    </w:tbl>
    <w:p>
      <w:pPr>
        <w:spacing w:after="20"/>
      </w:pPr>
    </w:p>
    <w:p>
      <w:pPr>
        <w:pStyle w:val="Heading2"/>
      </w:pPr>
      <w:r>
        <w:t>Trust and authority rules</w:t>
      </w:r>
    </w:p>
    <w:p>
      <w:pPr>
        <w:pStyle w:val="ListBullet"/>
      </w:pPr>
      <w:r>
        <w:t>Route modules may trust only a verified auth result and a database-resolved role.</w:t>
      </w:r>
    </w:p>
    <w:p>
      <w:pPr>
        <w:pStyle w:val="ListBullet"/>
      </w:pPr>
      <w:r>
        <w:t>Pure domain modules accept typed state and possess no credentials or database authority.</w:t>
      </w:r>
    </w:p>
    <w:p>
      <w:pPr>
        <w:pStyle w:val="ListBullet"/>
      </w:pPr>
      <w:r>
        <w:t>Repository implementations may execute safe reads and service-role RPCs.</w:t>
      </w:r>
    </w:p>
    <w:p>
      <w:pPr>
        <w:pStyle w:val="ListBullet"/>
      </w:pPr>
      <w:r>
        <w:t>Request payloads must never be trusted for participant identity, role, current lifecycle state, timestamps or existing version bindings.</w:t>
      </w:r>
    </w:p>
    <w:p>
      <w:pPr>
        <w:pStyle w:val="ListBullet"/>
      </w:pPr>
      <w:r>
        <w:t>Responses return sanitized domain DTOs rather than raw Supabase rows.</w:t>
      </w:r>
    </w:p>
    <w:p>
      <w:pPr>
        <w:pStyle w:val="Evidence"/>
      </w:pPr>
      <w:r>
        <w:t>Evidence: backend/app/matching/data_access.py:L26-L112; backend/app/marketplace/data_access.py:L13-L43; backend/app/marketplace/dashboard_contracts.py:L208-L226; backend/app/api/routes/contact_exchange.py:L38-L69</w:t>
      </w:r>
    </w:p>
    <w:p>
      <w:pPr>
        <w:pStyle w:val="Heading1"/>
      </w:pPr>
      <w:r>
        <w:t>4. Development journey: Milestone 0 to Milestone 7</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2088"/>
            <w:shd w:fill="E8EEF5"/>
            <w:tcMar>
              <w:top w:w="80" w:type="dxa"/>
              <w:start w:w="120" w:type="dxa"/>
              <w:bottom w:w="80" w:type="dxa"/>
              <w:end w:w="120" w:type="dxa"/>
            </w:tcMar>
            <w:vAlign w:val="center"/>
          </w:tcPr>
          <w:p>
            <w:pPr>
              <w:spacing w:after="0"/>
            </w:pPr>
            <w:r>
              <w:rPr>
                <w:b/>
                <w:color w:val="0B2545"/>
                <w:sz w:val="19"/>
              </w:rPr>
              <w:t>Stage</w:t>
            </w:r>
          </w:p>
        </w:tc>
        <w:tc>
          <w:tcPr>
            <w:tcW w:type="dxa" w:w="7272"/>
            <w:shd w:fill="E8EEF5"/>
            <w:tcMar>
              <w:top w:w="80" w:type="dxa"/>
              <w:start w:w="120" w:type="dxa"/>
              <w:bottom w:w="80" w:type="dxa"/>
              <w:end w:w="120" w:type="dxa"/>
            </w:tcMar>
            <w:vAlign w:val="center"/>
          </w:tcPr>
          <w:p>
            <w:pPr>
              <w:spacing w:after="0"/>
            </w:pPr>
            <w:r>
              <w:rPr>
                <w:b/>
                <w:color w:val="0B2545"/>
                <w:sz w:val="19"/>
              </w:rPr>
              <w:t>Problem solved and preparation for next stage</w:t>
            </w:r>
          </w:p>
        </w:tc>
      </w:tr>
      <w:tr>
        <w:trPr>
          <w:cantSplit/>
        </w:trPr>
        <w:tc>
          <w:tcPr>
            <w:tcW w:type="dxa" w:w="2088"/>
            <w:tcMar>
              <w:top w:w="80" w:type="dxa"/>
              <w:start w:w="120" w:type="dxa"/>
              <w:bottom w:w="80" w:type="dxa"/>
              <w:end w:w="120" w:type="dxa"/>
            </w:tcMar>
            <w:vAlign w:val="center"/>
          </w:tcPr>
          <w:p>
            <w:pPr>
              <w:spacing w:after="0" w:line="264" w:lineRule="auto"/>
            </w:pPr>
            <w:r>
              <w:rPr>
                <w:color w:val="0B2545"/>
                <w:sz w:val="18"/>
              </w:rPr>
              <w:t>M0 Foundation</w:t>
            </w:r>
          </w:p>
        </w:tc>
        <w:tc>
          <w:tcPr>
            <w:tcW w:type="dxa" w:w="7272"/>
            <w:tcMar>
              <w:top w:w="80" w:type="dxa"/>
              <w:start w:w="120" w:type="dxa"/>
              <w:bottom w:w="80" w:type="dxa"/>
              <w:end w:w="120" w:type="dxa"/>
            </w:tcMar>
            <w:vAlign w:val="center"/>
          </w:tcPr>
          <w:p>
            <w:pPr>
              <w:spacing w:after="0" w:line="264" w:lineRule="auto"/>
            </w:pPr>
            <w:r>
              <w:rPr>
                <w:color w:val="0B2545"/>
                <w:sz w:val="18"/>
              </w:rPr>
              <w:t>Created the monorepo, Vite/React/TypeScript frontend, FastAPI backend, routes and environment templates without pretending database or AI functionality existed.</w:t>
            </w:r>
          </w:p>
        </w:tc>
      </w:tr>
      <w:tr>
        <w:trPr>
          <w:cantSplit/>
        </w:trPr>
        <w:tc>
          <w:tcPr>
            <w:tcW w:type="dxa" w:w="2088"/>
            <w:tcMar>
              <w:top w:w="80" w:type="dxa"/>
              <w:start w:w="120" w:type="dxa"/>
              <w:bottom w:w="80" w:type="dxa"/>
              <w:end w:w="120" w:type="dxa"/>
            </w:tcMar>
            <w:vAlign w:val="center"/>
          </w:tcPr>
          <w:p>
            <w:pPr>
              <w:spacing w:after="0" w:line="264" w:lineRule="auto"/>
            </w:pPr>
            <w:r>
              <w:rPr>
                <w:color w:val="0B2545"/>
                <w:sz w:val="18"/>
              </w:rPr>
              <w:t>M1 Auth and roles</w:t>
            </w:r>
          </w:p>
        </w:tc>
        <w:tc>
          <w:tcPr>
            <w:tcW w:type="dxa" w:w="7272"/>
            <w:tcMar>
              <w:top w:w="80" w:type="dxa"/>
              <w:start w:w="120" w:type="dxa"/>
              <w:bottom w:w="80" w:type="dxa"/>
              <w:end w:w="120" w:type="dxa"/>
            </w:tcMar>
            <w:vAlign w:val="center"/>
          </w:tcPr>
          <w:p>
            <w:pPr>
              <w:spacing w:after="0" w:line="264" w:lineRule="auto"/>
            </w:pPr>
            <w:r>
              <w:rPr>
                <w:color w:val="0B2545"/>
                <w:sz w:val="18"/>
              </w:rPr>
              <w:t>Added Supabase Auth, trusted user profiles, protected routes and role-specific routing.</w:t>
            </w:r>
          </w:p>
        </w:tc>
      </w:tr>
      <w:tr>
        <w:trPr>
          <w:cantSplit/>
        </w:trPr>
        <w:tc>
          <w:tcPr>
            <w:tcW w:type="dxa" w:w="2088"/>
            <w:tcMar>
              <w:top w:w="80" w:type="dxa"/>
              <w:start w:w="120" w:type="dxa"/>
              <w:bottom w:w="80" w:type="dxa"/>
              <w:end w:w="120" w:type="dxa"/>
            </w:tcMar>
            <w:vAlign w:val="center"/>
          </w:tcPr>
          <w:p>
            <w:pPr>
              <w:spacing w:after="0" w:line="264" w:lineRule="auto"/>
            </w:pPr>
            <w:r>
              <w:rPr>
                <w:color w:val="0B2545"/>
                <w:sz w:val="18"/>
              </w:rPr>
              <w:t>M2 Profiles and gigs</w:t>
            </w:r>
          </w:p>
        </w:tc>
        <w:tc>
          <w:tcPr>
            <w:tcW w:type="dxa" w:w="7272"/>
            <w:tcMar>
              <w:top w:w="80" w:type="dxa"/>
              <w:start w:w="120" w:type="dxa"/>
              <w:bottom w:w="80" w:type="dxa"/>
              <w:end w:w="120" w:type="dxa"/>
            </w:tcMar>
            <w:vAlign w:val="center"/>
          </w:tcPr>
          <w:p>
            <w:pPr>
              <w:spacing w:after="0" w:line="264" w:lineRule="auto"/>
            </w:pPr>
            <w:r>
              <w:rPr>
                <w:color w:val="0B2545"/>
                <w:sz w:val="18"/>
              </w:rPr>
              <w:t>Added RLS-protected freelancer/client profiles and client-owned gig creation.</w:t>
            </w:r>
          </w:p>
        </w:tc>
      </w:tr>
      <w:tr>
        <w:trPr>
          <w:cantSplit/>
        </w:trPr>
        <w:tc>
          <w:tcPr>
            <w:tcW w:type="dxa" w:w="2088"/>
            <w:tcMar>
              <w:top w:w="80" w:type="dxa"/>
              <w:start w:w="120" w:type="dxa"/>
              <w:bottom w:w="80" w:type="dxa"/>
              <w:end w:w="120" w:type="dxa"/>
            </w:tcMar>
            <w:vAlign w:val="center"/>
          </w:tcPr>
          <w:p>
            <w:pPr>
              <w:spacing w:after="0" w:line="264" w:lineRule="auto"/>
            </w:pPr>
            <w:r>
              <w:rPr>
                <w:color w:val="0B2545"/>
                <w:sz w:val="18"/>
              </w:rPr>
              <w:t>M3 Parsing</w:t>
            </w:r>
          </w:p>
        </w:tc>
        <w:tc>
          <w:tcPr>
            <w:tcW w:type="dxa" w:w="7272"/>
            <w:tcMar>
              <w:top w:w="80" w:type="dxa"/>
              <w:start w:w="120" w:type="dxa"/>
              <w:bottom w:w="80" w:type="dxa"/>
              <w:end w:w="120" w:type="dxa"/>
            </w:tcMar>
            <w:vAlign w:val="center"/>
          </w:tcPr>
          <w:p>
            <w:pPr>
              <w:spacing w:after="0" w:line="264" w:lineRule="auto"/>
            </w:pPr>
            <w:r>
              <w:rPr>
                <w:color w:val="0B2545"/>
                <w:sz w:val="18"/>
              </w:rPr>
              <w:t>Progressed from taxonomy extraction to stateless APIs, reviewed persistence, resume/gig review UI and PDF/DOCX extraction.</w:t>
            </w:r>
          </w:p>
        </w:tc>
      </w:tr>
      <w:tr>
        <w:trPr>
          <w:cantSplit/>
        </w:trPr>
        <w:tc>
          <w:tcPr>
            <w:tcW w:type="dxa" w:w="2088"/>
            <w:tcMar>
              <w:top w:w="80" w:type="dxa"/>
              <w:start w:w="120" w:type="dxa"/>
              <w:bottom w:w="80" w:type="dxa"/>
              <w:end w:w="120" w:type="dxa"/>
            </w:tcMar>
            <w:vAlign w:val="center"/>
          </w:tcPr>
          <w:p>
            <w:pPr>
              <w:spacing w:after="0" w:line="264" w:lineRule="auto"/>
            </w:pPr>
            <w:r>
              <w:rPr>
                <w:color w:val="0B2545"/>
                <w:sz w:val="18"/>
              </w:rPr>
              <w:t>M4 Matching</w:t>
            </w:r>
          </w:p>
        </w:tc>
        <w:tc>
          <w:tcPr>
            <w:tcW w:type="dxa" w:w="7272"/>
            <w:tcMar>
              <w:top w:w="80" w:type="dxa"/>
              <w:start w:w="120" w:type="dxa"/>
              <w:bottom w:w="80" w:type="dxa"/>
              <w:end w:w="120" w:type="dxa"/>
            </w:tcMar>
            <w:vAlign w:val="center"/>
          </w:tcPr>
          <w:p>
            <w:pPr>
              <w:spacing w:after="0" w:line="264" w:lineRule="auto"/>
            </w:pPr>
            <w:r>
              <w:rPr>
                <w:color w:val="0B2545"/>
                <w:sz w:val="18"/>
              </w:rPr>
              <w:t>Introduced normalized entities, keyword scoring, embedding abstraction, semantic similarity, hybrid ranking and role-safe bidirectional APIs.</w:t>
            </w:r>
          </w:p>
        </w:tc>
      </w:tr>
      <w:tr>
        <w:trPr>
          <w:cantSplit/>
        </w:trPr>
        <w:tc>
          <w:tcPr>
            <w:tcW w:type="dxa" w:w="2088"/>
            <w:tcMar>
              <w:top w:w="80" w:type="dxa"/>
              <w:start w:w="120" w:type="dxa"/>
              <w:bottom w:w="80" w:type="dxa"/>
              <w:end w:w="120" w:type="dxa"/>
            </w:tcMar>
            <w:vAlign w:val="center"/>
          </w:tcPr>
          <w:p>
            <w:pPr>
              <w:spacing w:after="0" w:line="264" w:lineRule="auto"/>
            </w:pPr>
            <w:r>
              <w:rPr>
                <w:color w:val="0B2545"/>
                <w:sz w:val="18"/>
              </w:rPr>
              <w:t>M5 Explainability</w:t>
            </w:r>
          </w:p>
        </w:tc>
        <w:tc>
          <w:tcPr>
            <w:tcW w:type="dxa" w:w="7272"/>
            <w:tcMar>
              <w:top w:w="80" w:type="dxa"/>
              <w:start w:w="120" w:type="dxa"/>
              <w:bottom w:w="80" w:type="dxa"/>
              <w:end w:w="120" w:type="dxa"/>
            </w:tcMar>
            <w:vAlign w:val="center"/>
          </w:tcPr>
          <w:p>
            <w:pPr>
              <w:spacing w:after="0" w:line="264" w:lineRule="auto"/>
            </w:pPr>
            <w:r>
              <w:rPr>
                <w:color w:val="0B2545"/>
                <w:sz w:val="18"/>
              </w:rPr>
              <w:t>Added matched/missing evidence, skill-gap severity, focus skills and reusable frontend explanation panels.</w:t>
            </w:r>
          </w:p>
        </w:tc>
      </w:tr>
      <w:tr>
        <w:trPr>
          <w:cantSplit/>
        </w:trPr>
        <w:tc>
          <w:tcPr>
            <w:tcW w:type="dxa" w:w="2088"/>
            <w:tcMar>
              <w:top w:w="80" w:type="dxa"/>
              <w:start w:w="120" w:type="dxa"/>
              <w:bottom w:w="80" w:type="dxa"/>
              <w:end w:w="120" w:type="dxa"/>
            </w:tcMar>
            <w:vAlign w:val="center"/>
          </w:tcPr>
          <w:p>
            <w:pPr>
              <w:spacing w:after="0" w:line="264" w:lineRule="auto"/>
            </w:pPr>
            <w:r>
              <w:rPr>
                <w:color w:val="0B2545"/>
                <w:sz w:val="18"/>
              </w:rPr>
              <w:t>M6 Evaluation</w:t>
            </w:r>
          </w:p>
        </w:tc>
        <w:tc>
          <w:tcPr>
            <w:tcW w:type="dxa" w:w="7272"/>
            <w:tcMar>
              <w:top w:w="80" w:type="dxa"/>
              <w:start w:w="120" w:type="dxa"/>
              <w:bottom w:w="80" w:type="dxa"/>
              <w:end w:w="120" w:type="dxa"/>
            </w:tcMar>
            <w:vAlign w:val="center"/>
          </w:tcPr>
          <w:p>
            <w:pPr>
              <w:spacing w:after="0" w:line="264" w:lineRule="auto"/>
            </w:pPr>
            <w:r>
              <w:rPr>
                <w:color w:val="0B2545"/>
                <w:sz w:val="18"/>
              </w:rPr>
              <w:t>Added seeded relevance fixtures, Precision@K, Recall@K, NDCG, AP/MAP and an admin-only evaluation console with honest unavailable states.</w:t>
            </w:r>
          </w:p>
        </w:tc>
      </w:tr>
      <w:tr>
        <w:trPr>
          <w:cantSplit/>
        </w:trPr>
        <w:tc>
          <w:tcPr>
            <w:tcW w:type="dxa" w:w="2088"/>
            <w:tcMar>
              <w:top w:w="80" w:type="dxa"/>
              <w:start w:w="120" w:type="dxa"/>
              <w:bottom w:w="80" w:type="dxa"/>
              <w:end w:w="120" w:type="dxa"/>
            </w:tcMar>
            <w:vAlign w:val="center"/>
          </w:tcPr>
          <w:p>
            <w:pPr>
              <w:spacing w:after="0" w:line="264" w:lineRule="auto"/>
            </w:pPr>
            <w:r>
              <w:rPr>
                <w:color w:val="0B2545"/>
                <w:sz w:val="18"/>
              </w:rPr>
              <w:t>M7 Marketplace</w:t>
            </w:r>
          </w:p>
        </w:tc>
        <w:tc>
          <w:tcPr>
            <w:tcW w:type="dxa" w:w="7272"/>
            <w:tcMar>
              <w:top w:w="80" w:type="dxa"/>
              <w:start w:w="120" w:type="dxa"/>
              <w:bottom w:w="80" w:type="dxa"/>
              <w:end w:w="120" w:type="dxa"/>
            </w:tcMar>
            <w:vAlign w:val="center"/>
          </w:tcPr>
          <w:p>
            <w:pPr>
              <w:spacing w:after="0" w:line="264" w:lineRule="auto"/>
            </w:pPr>
            <w:r>
              <w:rPr>
                <w:color w:val="0B2545"/>
                <w:sz w:val="18"/>
              </w:rPr>
              <w:t>Connected discovery, applications, review, Q&amp;A, selection, engagement, secure contact and dashboards into a locally verified product workflow.</w:t>
            </w:r>
          </w:p>
        </w:tc>
      </w:tr>
    </w:tbl>
    <w:p>
      <w:pPr>
        <w:spacing w:after="20"/>
      </w:pPr>
    </w:p>
    <w:p>
      <w:pPr>
        <w:pStyle w:val="Evidence"/>
      </w:pPr>
      <w:r>
        <w:t>Evidence: docs/milestones.md:L3-L109; docs/milestones.md:L111-L253; backend/app/evaluation/metrics.py:L21-L238; docs/verification/milestone-7-closure.md:L3-L40</w:t>
      </w:r>
    </w:p>
    <w:p>
      <w:pPr>
        <w:pStyle w:val="Heading1"/>
      </w:pPr>
      <w:r>
        <w:t>5. AI matching pipeline in depth</w:t>
      </w:r>
    </w:p>
    <w:p>
      <w:pPr>
        <w:spacing w:after="80"/>
        <w:ind w:left="540" w:hanging="360"/>
      </w:pPr>
      <w:r>
        <w:t>1.  Resume or gig text is pasted or extracted from PDF/DOCX.</w:t>
      </w:r>
    </w:p>
    <w:p>
      <w:pPr>
        <w:spacing w:after="80"/>
        <w:ind w:left="540" w:hanging="360"/>
      </w:pPr>
      <w:r>
        <w:t>2.  The taxonomy extractor identifies normalized technical skills.</w:t>
      </w:r>
    </w:p>
    <w:p>
      <w:pPr>
        <w:spacing w:after="80"/>
        <w:ind w:left="540" w:hanging="360"/>
      </w:pPr>
      <w:r>
        <w:t>3.  The user reviews structured output before it is saved.</w:t>
      </w:r>
    </w:p>
    <w:p>
      <w:pPr>
        <w:spacing w:after="80"/>
        <w:ind w:left="540" w:hanging="360"/>
      </w:pPr>
      <w:r>
        <w:t>4.  Builders combine structured fields with the latest reviewed parse data.</w:t>
      </w:r>
    </w:p>
    <w:p>
      <w:pPr>
        <w:spacing w:after="80"/>
        <w:ind w:left="540" w:hanging="360"/>
      </w:pPr>
      <w:r>
        <w:t>5.  Keyword scoring evaluates required coverage, preferred coverage and category alignment, with a bounded missing-required penalty.</w:t>
      </w:r>
    </w:p>
    <w:p>
      <w:pPr>
        <w:spacing w:after="80"/>
        <w:ind w:left="540" w:hanging="360"/>
      </w:pPr>
      <w:r>
        <w:t>6.  Semantic ranking constructs stable text, obtains embeddings and calculates cosine similarity.</w:t>
      </w:r>
    </w:p>
    <w:p>
      <w:pPr>
        <w:spacing w:after="80"/>
        <w:ind w:left="540" w:hanging="360"/>
      </w:pPr>
      <w:r>
        <w:t>7.  Hybrid ranking combines keyword and semantic scores using default weights of 0.55 and 0.45.</w:t>
      </w:r>
    </w:p>
    <w:p>
      <w:pPr>
        <w:spacing w:after="80"/>
        <w:ind w:left="540" w:hanging="360"/>
      </w:pPr>
      <w:r>
        <w:t>8.  Explanation logic produces matched skills, gaps, severity and deterministic text.</w:t>
      </w:r>
    </w:p>
    <w:p>
      <w:pPr>
        <w:spacing w:after="80"/>
        <w:ind w:left="540" w:hanging="360"/>
      </w:pPr>
      <w:r>
        <w:t>9.  The API records the real ranking mode and semantic availability.</w:t>
      </w:r>
    </w:p>
    <w:p>
      <w:pPr>
        <w:spacing w:after="80"/>
        <w:ind w:left="540" w:hanging="360"/>
      </w:pPr>
      <w:r>
        <w:t>10.  Evaluation executes the same rankers over explicit seeded relevance judgments.</w:t>
      </w:r>
    </w:p>
    <w:p>
      <w:pPr>
        <w:pStyle w:val="Heading2"/>
      </w:pPr>
      <w:r>
        <w:t>Genuine AI versus deterministic behavior</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tcMar>
              <w:top w:w="80" w:type="dxa"/>
              <w:start w:w="120" w:type="dxa"/>
              <w:bottom w:w="80" w:type="dxa"/>
              <w:end w:w="120" w:type="dxa"/>
            </w:tcMar>
            <w:vAlign w:val="center"/>
          </w:tcPr>
          <w:p>
            <w:pPr>
              <w:spacing w:after="0"/>
            </w:pPr>
            <w:r>
              <w:rPr>
                <w:b/>
                <w:color w:val="0B2545"/>
                <w:sz w:val="19"/>
              </w:rPr>
              <w:t>Genuinely AI-based</w:t>
            </w:r>
          </w:p>
        </w:tc>
        <w:tc>
          <w:tcPr>
            <w:tcW w:type="dxa" w:w="4680"/>
            <w:shd w:fill="E8EEF5"/>
            <w:tcMar>
              <w:top w:w="80" w:type="dxa"/>
              <w:start w:w="120" w:type="dxa"/>
              <w:bottom w:w="80" w:type="dxa"/>
              <w:end w:w="120" w:type="dxa"/>
            </w:tcMar>
            <w:vAlign w:val="center"/>
          </w:tcPr>
          <w:p>
            <w:pPr>
              <w:spacing w:after="0"/>
            </w:pPr>
            <w:r>
              <w:rPr>
                <w:b/>
                <w:color w:val="0B2545"/>
                <w:sz w:val="19"/>
              </w:rPr>
              <w:t>Deterministic</w:t>
            </w:r>
          </w:p>
        </w:tc>
      </w:tr>
      <w:tr>
        <w:trPr>
          <w:cantSplit/>
        </w:trPr>
        <w:tc>
          <w:tcPr>
            <w:tcW w:type="dxa" w:w="4680"/>
            <w:tcMar>
              <w:top w:w="80" w:type="dxa"/>
              <w:start w:w="120" w:type="dxa"/>
              <w:bottom w:w="80" w:type="dxa"/>
              <w:end w:w="120" w:type="dxa"/>
            </w:tcMar>
            <w:vAlign w:val="center"/>
          </w:tcPr>
          <w:p>
            <w:pPr>
              <w:spacing w:after="0" w:line="264" w:lineRule="auto"/>
            </w:pPr>
            <w:r>
              <w:rPr>
                <w:color w:val="0B2545"/>
                <w:sz w:val="18"/>
              </w:rPr>
              <w:t>Learned embedding generation used to represent semantic meaning.</w:t>
            </w:r>
          </w:p>
        </w:tc>
        <w:tc>
          <w:tcPr>
            <w:tcW w:type="dxa" w:w="4680"/>
            <w:tcMar>
              <w:top w:w="80" w:type="dxa"/>
              <w:start w:w="120" w:type="dxa"/>
              <w:bottom w:w="80" w:type="dxa"/>
              <w:end w:w="120" w:type="dxa"/>
            </w:tcMar>
            <w:vAlign w:val="center"/>
          </w:tcPr>
          <w:p>
            <w:pPr>
              <w:spacing w:after="0" w:line="264" w:lineRule="auto"/>
            </w:pPr>
            <w:r>
              <w:rPr>
                <w:color w:val="0B2545"/>
                <w:sz w:val="18"/>
              </w:rPr>
              <w:t>Taxonomy extraction, keyword scoring, cosine calculation, hybrid weighting, gap classification, explanation text and official metrics.</w:t>
            </w:r>
          </w:p>
        </w:tc>
      </w:tr>
    </w:tbl>
    <w:p>
      <w:pPr>
        <w:spacing w:after="20"/>
      </w:pPr>
    </w:p>
    <w:p>
      <w:pPr>
        <w:pStyle w:val="Heading2"/>
      </w:pPr>
      <w:r>
        <w:t>Design integrity</w:t>
      </w:r>
    </w:p>
    <w:p>
      <w:pPr>
        <w:pStyle w:val="ListBullet"/>
      </w:pPr>
      <w:r>
        <w:t>Price does not affect suitability because cheaper does not mean technically stronger.</w:t>
      </w:r>
    </w:p>
    <w:p>
      <w:pPr>
        <w:pStyle w:val="ListBullet"/>
      </w:pPr>
      <w:r>
        <w:t>If semantic capability is missing, the response is labelled keyword fallback; no fake hybrid score is produced.</w:t>
      </w:r>
    </w:p>
    <w:p>
      <w:pPr>
        <w:pStyle w:val="ListBullet"/>
      </w:pPr>
      <w:r>
        <w:t>Unavailable metrics remain unavailable rather than being converted to zero.</w:t>
      </w:r>
    </w:p>
    <w:p>
      <w:pPr>
        <w:pStyle w:val="ListBullet"/>
      </w:pPr>
      <w:r>
        <w:t>The frontend validates and displays official metrics but never calculates them.</w:t>
      </w:r>
    </w:p>
    <w:p>
      <w:pPr>
        <w:pStyle w:val="ListBullet"/>
      </w:pPr>
      <w:r>
        <w:t>Seeded fixtures support local comparison only; no production improvement claim is made.</w:t>
      </w:r>
    </w:p>
    <w:p>
      <w:pPr>
        <w:pStyle w:val="Evidence"/>
      </w:pPr>
      <w:r>
        <w:t>Evidence: backend/app/matching/keyword.py:L11-L196; backend/app/matching/semantic.py:L18-L211; backend/app/matching/hybrid.py:L13-L179; backend/app/api/routes/matching.py:L207-L250; backend/app/evaluation/metrics.py:L389-L415</w:t>
      </w:r>
    </w:p>
    <w:p>
      <w:pPr>
        <w:pStyle w:val="Heading1"/>
      </w:pPr>
      <w:r>
        <w:t>6. Complete Milestone 7 explanation</w:t>
      </w:r>
    </w:p>
    <w:p>
      <w:pPr>
        <w:pStyle w:val="Heading2"/>
      </w:pPr>
      <w:r>
        <w:t>7A — Domain contracts</w:t>
      </w:r>
    </w:p>
    <w:p>
      <w:r>
        <w:t>Gig lifecycle, intake and operational state are orthogonal. Application, payment, proposal, selection and engagement rules were defined as pure contracts before persistence so transitions and invalid cases were testable without infrastructure.</w:t>
      </w:r>
    </w:p>
    <w:p>
      <w:pPr>
        <w:pStyle w:val="Evidence"/>
      </w:pPr>
      <w:r>
        <w:t>Evidence: backend/app/marketplace/gigs.py:L12-L156; backend/app/marketplace/applications.py:L21-L315; docs/verification/milestone-7a-closure.md:L87-L144</w:t>
      </w:r>
    </w:p>
    <w:p>
      <w:pPr>
        <w:pStyle w:val="Heading2"/>
      </w:pPr>
      <w:r>
        <w:t>7B — Persistence foundation</w:t>
      </w:r>
    </w:p>
    <w:p>
      <w:r>
        <w:t>Added immutable gig/application versions, applications, selection requests, engagements and append-only events. RLS scopes participant reads; service-only RPCs perform protected mutation. Atomic selection confirmation and deterministic locks prevent partial outcomes and double winners.</w:t>
      </w:r>
    </w:p>
    <w:p>
      <w:pPr>
        <w:pStyle w:val="Evidence"/>
      </w:pPr>
      <w:r>
        <w:t>Evidence: supabase/migrations/20260714225138_milestone_7b_database_foundation.sql:L51-L803; ...:L916-L1245; docs/verification/milestone-7b-closure.md:L139-L179</w:t>
      </w:r>
    </w:p>
    <w:p>
      <w:pPr>
        <w:pStyle w:val="Heading2"/>
      </w:pPr>
      <w:r>
        <w:t>7C — Discovery and gig management</w:t>
      </w:r>
    </w:p>
    <w:p>
      <w:r>
        <w:t>Discovery admits only complete, supported, application-ready gigs. Publication creates immutable snapshots. Published edits use preview fingerprints and optimistic concurrency; material edits create new material versions and trigger dependent effects. Intake closure/reopening, pause/resume and cancellation remain distinct.</w:t>
      </w:r>
    </w:p>
    <w:p>
      <w:pPr>
        <w:pStyle w:val="Evidence"/>
      </w:pPr>
      <w:r>
        <w:t>Evidence: backend/app/marketplace/discovery.py:L10-L166; backend/app/api/routes/gigs.py:L183-L327; supabase/migrations/20260718120000_milestone_7c_b_gig_management.sql:L230-L393</w:t>
      </w:r>
    </w:p>
    <w:p>
      <w:pPr>
        <w:pStyle w:val="Heading2"/>
      </w:pPr>
      <w:r>
        <w:t>7D — Freelancer applications</w:t>
      </w:r>
    </w:p>
    <w:p>
      <w:r>
        <w:t>One application identity per freelancer/gig preserves immutable versions. Every proposal binds the exact reviewed material gig version. Edit, withdrawal, reaffirmation, material-change update and controlled reapplication use strict contracts and idempotent RPCs.</w:t>
      </w:r>
    </w:p>
    <w:p>
      <w:pPr>
        <w:pStyle w:val="Evidence"/>
      </w:pPr>
      <w:r>
        <w:t>Evidence: backend/app/api/routes/applications.py:L80-L311; backend/app/marketplace/application_contracts.py:L166-L231; supabase/migrations/20260720064417_milestone_7d_freelancer_applications.sql:L309-L688</w:t>
      </w:r>
    </w:p>
    <w:p>
      <w:pPr>
        <w:pStyle w:val="Heading2"/>
      </w:pPr>
      <w:r>
        <w:t>7E — Applicant review</w:t>
      </w:r>
    </w:p>
    <w:p>
      <w:r>
        <w:t>The client inbox ranks actual applicants while preserving the complete pool. Missing matching input creates an honest unrankable state. Private shortlist and formal decisions have separate state-bound action tokens; advancement, return, Not Selected and reopening are controlled transitions.</w:t>
      </w:r>
    </w:p>
    <w:p>
      <w:pPr>
        <w:pStyle w:val="Evidence"/>
      </w:pPr>
      <w:r>
        <w:t>Evidence: backend/app/marketplace/applicant_review.py:L33-L189; ...:L250-L390; supabase/migrations/20260724105437_milestone_7e_client_applicant_review.sql:L88-L608</w:t>
      </w:r>
    </w:p>
    <w:p>
      <w:pPr>
        <w:pStyle w:val="Heading2"/>
      </w:pPr>
      <w:r>
        <w:t>7F — Structured Q&amp;A and revisions</w:t>
      </w:r>
    </w:p>
    <w:p>
      <w:r>
        <w:t>This is not general chat. It supports two pre-advancement clarification turns, advanced discussion, answers/declines, append-only corrections, private reports, stop control, safety rules, rate limits and idempotency. A proposal changes only when a new immutable application version is created.</w:t>
      </w:r>
    </w:p>
    <w:p>
      <w:pPr>
        <w:pStyle w:val="Evidence"/>
      </w:pPr>
      <w:r>
        <w:t>Evidence: backend/app/marketplace/qa_contracts.py:L68-L208; backend/app/marketplace/qa_safety.py:L12-L38; supabase/migrations/20260725120246_milestone_7f_structured_qa_revision.sql:L582-L1289</w:t>
      </w:r>
    </w:p>
    <w:p>
      <w:pPr>
        <w:pStyle w:val="Heading2"/>
      </w:pPr>
      <w:r>
        <w:t>7G — Selection requests</w:t>
      </w:r>
    </w:p>
    <w:p>
      <w:r>
        <w:t>One active request per gig binds exact gig/application versions and database-authoritative expiry. Separate send, management and response tokens prevent stale actions. Acceptance atomically confirms the winner, fills the gig, closes competitors and creates the engagement.</w:t>
      </w:r>
    </w:p>
    <w:p>
      <w:pPr>
        <w:pStyle w:val="Evidence"/>
      </w:pPr>
      <w:r>
        <w:t>Evidence: backend/app/marketplace/selections.py:L35-L315; supabase/migrations/20260725173847_milestone_7g_selection_request_atomic_confirmation.sql:L620-L1176</w:t>
      </w:r>
    </w:p>
    <w:p>
      <w:pPr>
        <w:pStyle w:val="Heading2"/>
      </w:pPr>
      <w:r>
        <w:t>7H — Engagement workspace</w:t>
      </w:r>
    </w:p>
    <w:p>
      <w:r>
        <w:t>A seven-state lifecycle covers confirmed, kickoff preparation, in progress, completion pending, completed, cancellation pending and cancelled. Lifecycle versions, tokens and idempotency guard transitions. Failed engagements may reopen gigs; reconsideration can reaffirm or update proposals without rewriting historical Confirmed state.</w:t>
      </w:r>
    </w:p>
    <w:p>
      <w:pPr>
        <w:pStyle w:val="Evidence"/>
      </w:pPr>
      <w:r>
        <w:t>Evidence: backend/app/marketplace/engagements.py:L32-L339; supabase/migrations/20260726090000_milestone_7h_engagement_workspace_lifecycle.sql:L323-L1001</w:t>
      </w:r>
    </w:p>
    <w:p>
      <w:pPr>
        <w:pStyle w:val="Heading2"/>
      </w:pPr>
      <w:r>
        <w:t>7I — Secure contact exchange</w:t>
      </w:r>
    </w:p>
    <w:p>
      <w:r>
        <w:t>Sharing is engagement-scoped and method-specific. Verified email/phone, separate WhatsApp consent and validated HTTPS URLs are protected with AES-256-GCM, key IDs and HMAC fingerprints. Ordinary reads remain masked; reveal is reauthorized, ephemeral and no-store; revocation retires encrypted material.</w:t>
      </w:r>
    </w:p>
    <w:p>
      <w:pPr>
        <w:pStyle w:val="Evidence"/>
      </w:pPr>
      <w:r>
        <w:t>Evidence: backend/app/marketplace/contact_crypto.py:L41-L248; backend/app/api/routes/contact_exchange.py:L69-L369; supabase/migrations/20260726170000_milestone_7i_secure_contact_exchange.sql:L3-L1119</w:t>
      </w:r>
    </w:p>
    <w:p>
      <w:pPr>
        <w:pStyle w:val="Heading2"/>
      </w:pPr>
      <w:r>
        <w:t>7J/7K — Consolidation and closure</w:t>
      </w:r>
    </w:p>
    <w:p>
      <w:r>
        <w:t>Role-specific dashboard RPCs consolidate workflow attention and previews. Lazy frontend routing improved bundle structure. Final closure replayed migrations and completed database, backend, frontend, concurrency, security and four-actor browser verification, repairing four confirmed integration defects.</w:t>
      </w:r>
    </w:p>
    <w:p>
      <w:pPr>
        <w:pStyle w:val="Evidence"/>
      </w:pPr>
      <w:r>
        <w:t>Evidence: supabase/migrations/20260726210000_milestone_7j_dashboard_consolidation.sql:L76-L909; docs/verification/milestone-7k-closure.md:L49-L208</w:t>
      </w:r>
    </w:p>
    <w:p>
      <w:pPr>
        <w:pStyle w:val="Heading1"/>
      </w:pPr>
      <w:r>
        <w:t>7. Relevant frontend architecture</w:t>
      </w:r>
    </w:p>
    <w:p>
      <w:r>
        <w:t>The frontend exposes backend capabilities but never becomes workflow authority. App.tsx provides lazy routing; ProtectedRoute enforces presentation-level role access; AuthContext maintains Supabase sessions; feature clients attach bearer tokens; contract modules and pure view helpers validate and render backend results.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3096"/>
            <w:shd w:fill="E8EEF5"/>
            <w:tcMar>
              <w:top w:w="80" w:type="dxa"/>
              <w:start w:w="120" w:type="dxa"/>
              <w:bottom w:w="80" w:type="dxa"/>
              <w:end w:w="120" w:type="dxa"/>
            </w:tcMar>
            <w:vAlign w:val="center"/>
          </w:tcPr>
          <w:p>
            <w:pPr>
              <w:spacing w:after="0"/>
            </w:pPr>
            <w:r>
              <w:rPr>
                <w:b/>
                <w:color w:val="0B2545"/>
                <w:sz w:val="19"/>
              </w:rPr>
              <w:t>Frontend surface</w:t>
            </w:r>
          </w:p>
        </w:tc>
        <w:tc>
          <w:tcPr>
            <w:tcW w:type="dxa" w:w="6264"/>
            <w:shd w:fill="E8EEF5"/>
            <w:tcMar>
              <w:top w:w="80" w:type="dxa"/>
              <w:start w:w="120" w:type="dxa"/>
              <w:bottom w:w="80" w:type="dxa"/>
              <w:end w:w="120" w:type="dxa"/>
            </w:tcMar>
            <w:vAlign w:val="center"/>
          </w:tcPr>
          <w:p>
            <w:pPr>
              <w:spacing w:after="0"/>
            </w:pPr>
            <w:r>
              <w:rPr>
                <w:b/>
                <w:color w:val="0B2545"/>
                <w:sz w:val="19"/>
              </w:rPr>
              <w:t>Backend/database authority</w:t>
            </w:r>
          </w:p>
        </w:tc>
      </w:tr>
      <w:tr>
        <w:trPr>
          <w:cantSplit/>
        </w:trPr>
        <w:tc>
          <w:tcPr>
            <w:tcW w:type="dxa" w:w="3096"/>
            <w:tcMar>
              <w:top w:w="80" w:type="dxa"/>
              <w:start w:w="120" w:type="dxa"/>
              <w:bottom w:w="80" w:type="dxa"/>
              <w:end w:w="120" w:type="dxa"/>
            </w:tcMar>
            <w:vAlign w:val="center"/>
          </w:tcPr>
          <w:p>
            <w:pPr>
              <w:spacing w:after="0" w:line="264" w:lineRule="auto"/>
            </w:pPr>
            <w:r>
              <w:rPr>
                <w:color w:val="0B2545"/>
                <w:sz w:val="18"/>
              </w:rPr>
              <w:t>Gig discovery and detail</w:t>
            </w:r>
          </w:p>
        </w:tc>
        <w:tc>
          <w:tcPr>
            <w:tcW w:type="dxa" w:w="6264"/>
            <w:tcMar>
              <w:top w:w="80" w:type="dxa"/>
              <w:start w:w="120" w:type="dxa"/>
              <w:bottom w:w="80" w:type="dxa"/>
              <w:end w:w="120" w:type="dxa"/>
            </w:tcMar>
            <w:vAlign w:val="center"/>
          </w:tcPr>
          <w:p>
            <w:pPr>
              <w:spacing w:after="0" w:line="264" w:lineRule="auto"/>
            </w:pPr>
            <w:r>
              <w:rPr>
                <w:color w:val="0B2545"/>
                <w:sz w:val="18"/>
              </w:rPr>
              <w:t>GET /gigs and /gigs/{id}; safe, application-ready reads.</w:t>
            </w:r>
          </w:p>
        </w:tc>
      </w:tr>
      <w:tr>
        <w:trPr>
          <w:cantSplit/>
        </w:trPr>
        <w:tc>
          <w:tcPr>
            <w:tcW w:type="dxa" w:w="3096"/>
            <w:tcMar>
              <w:top w:w="80" w:type="dxa"/>
              <w:start w:w="120" w:type="dxa"/>
              <w:bottom w:w="80" w:type="dxa"/>
              <w:end w:w="120" w:type="dxa"/>
            </w:tcMar>
            <w:vAlign w:val="center"/>
          </w:tcPr>
          <w:p>
            <w:pPr>
              <w:spacing w:after="0" w:line="264" w:lineRule="auto"/>
            </w:pPr>
            <w:r>
              <w:rPr>
                <w:color w:val="0B2545"/>
                <w:sz w:val="18"/>
              </w:rPr>
              <w:t>Application pages</w:t>
            </w:r>
          </w:p>
        </w:tc>
        <w:tc>
          <w:tcPr>
            <w:tcW w:type="dxa" w:w="6264"/>
            <w:tcMar>
              <w:top w:w="80" w:type="dxa"/>
              <w:start w:w="120" w:type="dxa"/>
              <w:bottom w:w="80" w:type="dxa"/>
              <w:end w:w="120" w:type="dxa"/>
            </w:tcMar>
            <w:vAlign w:val="center"/>
          </w:tcPr>
          <w:p>
            <w:pPr>
              <w:spacing w:after="0" w:line="264" w:lineRule="auto"/>
            </w:pPr>
            <w:r>
              <w:rPr>
                <w:color w:val="0B2545"/>
                <w:sz w:val="18"/>
              </w:rPr>
              <w:t>Application routes; immutable version RPCs and exact gig-version binding.</w:t>
            </w:r>
          </w:p>
        </w:tc>
      </w:tr>
      <w:tr>
        <w:trPr>
          <w:cantSplit/>
        </w:trPr>
        <w:tc>
          <w:tcPr>
            <w:tcW w:type="dxa" w:w="3096"/>
            <w:tcMar>
              <w:top w:w="80" w:type="dxa"/>
              <w:start w:w="120" w:type="dxa"/>
              <w:bottom w:w="80" w:type="dxa"/>
              <w:end w:w="120" w:type="dxa"/>
            </w:tcMar>
            <w:vAlign w:val="center"/>
          </w:tcPr>
          <w:p>
            <w:pPr>
              <w:spacing w:after="0" w:line="264" w:lineRule="auto"/>
            </w:pPr>
            <w:r>
              <w:rPr>
                <w:color w:val="0B2545"/>
                <w:sz w:val="18"/>
              </w:rPr>
              <w:t>Applicant inbox/detail</w:t>
            </w:r>
          </w:p>
        </w:tc>
        <w:tc>
          <w:tcPr>
            <w:tcW w:type="dxa" w:w="6264"/>
            <w:tcMar>
              <w:top w:w="80" w:type="dxa"/>
              <w:start w:w="120" w:type="dxa"/>
              <w:bottom w:w="80" w:type="dxa"/>
              <w:end w:w="120" w:type="dxa"/>
            </w:tcMar>
            <w:vAlign w:val="center"/>
          </w:tcPr>
          <w:p>
            <w:pPr>
              <w:spacing w:after="0" w:line="264" w:lineRule="auto"/>
            </w:pPr>
            <w:r>
              <w:rPr>
                <w:color w:val="0B2545"/>
                <w:sz w:val="18"/>
              </w:rPr>
              <w:t>Applicant review routes; private review state and suitability DTOs.</w:t>
            </w:r>
          </w:p>
        </w:tc>
      </w:tr>
      <w:tr>
        <w:trPr>
          <w:cantSplit/>
        </w:trPr>
        <w:tc>
          <w:tcPr>
            <w:tcW w:type="dxa" w:w="3096"/>
            <w:tcMar>
              <w:top w:w="80" w:type="dxa"/>
              <w:start w:w="120" w:type="dxa"/>
              <w:bottom w:w="80" w:type="dxa"/>
              <w:end w:w="120" w:type="dxa"/>
            </w:tcMar>
            <w:vAlign w:val="center"/>
          </w:tcPr>
          <w:p>
            <w:pPr>
              <w:spacing w:after="0" w:line="264" w:lineRule="auto"/>
            </w:pPr>
            <w:r>
              <w:rPr>
                <w:color w:val="0B2545"/>
                <w:sz w:val="18"/>
              </w:rPr>
              <w:t>Structured Q&amp;A panel</w:t>
            </w:r>
          </w:p>
        </w:tc>
        <w:tc>
          <w:tcPr>
            <w:tcW w:type="dxa" w:w="6264"/>
            <w:tcMar>
              <w:top w:w="80" w:type="dxa"/>
              <w:start w:w="120" w:type="dxa"/>
              <w:bottom w:w="80" w:type="dxa"/>
              <w:end w:w="120" w:type="dxa"/>
            </w:tcMar>
            <w:vAlign w:val="center"/>
          </w:tcPr>
          <w:p>
            <w:pPr>
              <w:spacing w:after="0" w:line="264" w:lineRule="auto"/>
            </w:pPr>
            <w:r>
              <w:rPr>
                <w:color w:val="0B2545"/>
                <w:sz w:val="18"/>
              </w:rPr>
              <w:t>Q&amp;A routes; append-only messages, operations and revision RPCs.</w:t>
            </w:r>
          </w:p>
        </w:tc>
      </w:tr>
      <w:tr>
        <w:trPr>
          <w:cantSplit/>
        </w:trPr>
        <w:tc>
          <w:tcPr>
            <w:tcW w:type="dxa" w:w="3096"/>
            <w:tcMar>
              <w:top w:w="80" w:type="dxa"/>
              <w:start w:w="120" w:type="dxa"/>
              <w:bottom w:w="80" w:type="dxa"/>
              <w:end w:w="120" w:type="dxa"/>
            </w:tcMar>
            <w:vAlign w:val="center"/>
          </w:tcPr>
          <w:p>
            <w:pPr>
              <w:spacing w:after="0" w:line="264" w:lineRule="auto"/>
            </w:pPr>
            <w:r>
              <w:rPr>
                <w:color w:val="0B2545"/>
                <w:sz w:val="18"/>
              </w:rPr>
              <w:t>Selection panel</w:t>
            </w:r>
          </w:p>
        </w:tc>
        <w:tc>
          <w:tcPr>
            <w:tcW w:type="dxa" w:w="6264"/>
            <w:tcMar>
              <w:top w:w="80" w:type="dxa"/>
              <w:start w:w="120" w:type="dxa"/>
              <w:bottom w:w="80" w:type="dxa"/>
              <w:end w:w="120" w:type="dxa"/>
            </w:tcMar>
            <w:vAlign w:val="center"/>
          </w:tcPr>
          <w:p>
            <w:pPr>
              <w:spacing w:after="0" w:line="264" w:lineRule="auto"/>
            </w:pPr>
            <w:r>
              <w:rPr>
                <w:color w:val="0B2545"/>
                <w:sz w:val="18"/>
              </w:rPr>
              <w:t>Selection routes; exact-version transactional authority.</w:t>
            </w:r>
          </w:p>
        </w:tc>
      </w:tr>
      <w:tr>
        <w:trPr>
          <w:cantSplit/>
        </w:trPr>
        <w:tc>
          <w:tcPr>
            <w:tcW w:type="dxa" w:w="3096"/>
            <w:tcMar>
              <w:top w:w="80" w:type="dxa"/>
              <w:start w:w="120" w:type="dxa"/>
              <w:bottom w:w="80" w:type="dxa"/>
              <w:end w:w="120" w:type="dxa"/>
            </w:tcMar>
            <w:vAlign w:val="center"/>
          </w:tcPr>
          <w:p>
            <w:pPr>
              <w:spacing w:after="0" w:line="264" w:lineRule="auto"/>
            </w:pPr>
            <w:r>
              <w:rPr>
                <w:color w:val="0B2545"/>
                <w:sz w:val="18"/>
              </w:rPr>
              <w:t>Engagement workspace</w:t>
            </w:r>
          </w:p>
        </w:tc>
        <w:tc>
          <w:tcPr>
            <w:tcW w:type="dxa" w:w="6264"/>
            <w:tcMar>
              <w:top w:w="80" w:type="dxa"/>
              <w:start w:w="120" w:type="dxa"/>
              <w:bottom w:w="80" w:type="dxa"/>
              <w:end w:w="120" w:type="dxa"/>
            </w:tcMar>
            <w:vAlign w:val="center"/>
          </w:tcPr>
          <w:p>
            <w:pPr>
              <w:spacing w:after="0" w:line="264" w:lineRule="auto"/>
            </w:pPr>
            <w:r>
              <w:rPr>
                <w:color w:val="0B2545"/>
                <w:sz w:val="18"/>
              </w:rPr>
              <w:t>Engagement routes; lifecycle RPC and authoritative timeline.</w:t>
            </w:r>
          </w:p>
        </w:tc>
      </w:tr>
      <w:tr>
        <w:trPr>
          <w:cantSplit/>
        </w:trPr>
        <w:tc>
          <w:tcPr>
            <w:tcW w:type="dxa" w:w="3096"/>
            <w:tcMar>
              <w:top w:w="80" w:type="dxa"/>
              <w:start w:w="120" w:type="dxa"/>
              <w:bottom w:w="80" w:type="dxa"/>
              <w:end w:w="120" w:type="dxa"/>
            </w:tcMar>
            <w:vAlign w:val="center"/>
          </w:tcPr>
          <w:p>
            <w:pPr>
              <w:spacing w:after="0" w:line="264" w:lineRule="auto"/>
            </w:pPr>
            <w:r>
              <w:rPr>
                <w:color w:val="0B2545"/>
                <w:sz w:val="18"/>
              </w:rPr>
              <w:t>Secure contact exchange</w:t>
            </w:r>
          </w:p>
        </w:tc>
        <w:tc>
          <w:tcPr>
            <w:tcW w:type="dxa" w:w="6264"/>
            <w:tcMar>
              <w:top w:w="80" w:type="dxa"/>
              <w:start w:w="120" w:type="dxa"/>
              <w:bottom w:w="80" w:type="dxa"/>
              <w:end w:w="120" w:type="dxa"/>
            </w:tcMar>
            <w:vAlign w:val="center"/>
          </w:tcPr>
          <w:p>
            <w:pPr>
              <w:spacing w:after="0" w:line="264" w:lineRule="auto"/>
            </w:pPr>
            <w:r>
              <w:rPr>
                <w:color w:val="0B2545"/>
                <w:sz w:val="18"/>
              </w:rPr>
              <w:t>Contact routes; encrypted material, masks and ephemeral reveal.</w:t>
            </w:r>
          </w:p>
        </w:tc>
      </w:tr>
      <w:tr>
        <w:trPr>
          <w:cantSplit/>
        </w:trPr>
        <w:tc>
          <w:tcPr>
            <w:tcW w:type="dxa" w:w="3096"/>
            <w:tcMar>
              <w:top w:w="80" w:type="dxa"/>
              <w:start w:w="120" w:type="dxa"/>
              <w:bottom w:w="80" w:type="dxa"/>
              <w:end w:w="120" w:type="dxa"/>
            </w:tcMar>
            <w:vAlign w:val="center"/>
          </w:tcPr>
          <w:p>
            <w:pPr>
              <w:spacing w:after="0" w:line="264" w:lineRule="auto"/>
            </w:pPr>
            <w:r>
              <w:rPr>
                <w:color w:val="0B2545"/>
                <w:sz w:val="18"/>
              </w:rPr>
              <w:t>Dashboards</w:t>
            </w:r>
          </w:p>
        </w:tc>
        <w:tc>
          <w:tcPr>
            <w:tcW w:type="dxa" w:w="6264"/>
            <w:tcMar>
              <w:top w:w="80" w:type="dxa"/>
              <w:start w:w="120" w:type="dxa"/>
              <w:bottom w:w="80" w:type="dxa"/>
              <w:end w:w="120" w:type="dxa"/>
            </w:tcMar>
            <w:vAlign w:val="center"/>
          </w:tcPr>
          <w:p>
            <w:pPr>
              <w:spacing w:after="0" w:line="264" w:lineRule="auto"/>
            </w:pPr>
            <w:r>
              <w:rPr>
                <w:color w:val="0B2545"/>
                <w:sz w:val="18"/>
              </w:rPr>
              <w:t>Role-specific dashboard routes and consolidated safe RPC read models.</w:t>
            </w:r>
          </w:p>
        </w:tc>
      </w:tr>
    </w:tbl>
    <w:p>
      <w:pPr>
        <w:spacing w:after="20"/>
      </w:pPr>
    </w:p>
    <w:p>
      <w:pPr>
        <w:pStyle w:val="ListBullet"/>
      </w:pPr>
      <w:r>
        <w:t>The frontend does not trust browser-provided identities or roles.</w:t>
      </w:r>
    </w:p>
    <w:p>
      <w:pPr>
        <w:pStyle w:val="ListBullet"/>
      </w:pPr>
      <w:r>
        <w:t>It does not calculate official ranking metrics.</w:t>
      </w:r>
    </w:p>
    <w:p>
      <w:pPr>
        <w:pStyle w:val="ListBullet"/>
      </w:pPr>
      <w:r>
        <w:t>It does not store revealed contact values.</w:t>
      </w:r>
    </w:p>
    <w:p>
      <w:pPr>
        <w:pStyle w:val="ListBullet"/>
      </w:pPr>
      <w:r>
        <w:t>It renders backend-authorized actions and blockers.</w:t>
      </w:r>
    </w:p>
    <w:p>
      <w:pPr>
        <w:pStyle w:val="ListBullet"/>
      </w:pPr>
      <w:r>
        <w:t>It reloads authoritative state after conflicts or stale tokens.</w:t>
      </w:r>
    </w:p>
    <w:p>
      <w:pPr>
        <w:pStyle w:val="Evidence"/>
      </w:pPr>
      <w:r>
        <w:t>Evidence: frontend/src/App.tsx:L7-L35; frontend/src/components/ProtectedRoute.tsx:L7-L32; frontend/src/lib/applications.ts:L16-L69; frontend/src/lib/contactExchange.ts:L23-L119; frontend/src/lib/evaluation.ts:L75-L197</w:t>
      </w:r>
    </w:p>
    <w:p>
      <w:pPr>
        <w:pStyle w:val="Heading1"/>
      </w:pPr>
      <w:r>
        <w:t>8. Technical differentiators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2736"/>
            <w:shd w:fill="E8EEF5"/>
            <w:tcMar>
              <w:top w:w="80" w:type="dxa"/>
              <w:start w:w="120" w:type="dxa"/>
              <w:bottom w:w="80" w:type="dxa"/>
              <w:end w:w="120" w:type="dxa"/>
            </w:tcMar>
            <w:vAlign w:val="center"/>
          </w:tcPr>
          <w:p>
            <w:pPr>
              <w:spacing w:after="0"/>
            </w:pPr>
            <w:r>
              <w:rPr>
                <w:b/>
                <w:color w:val="0B2545"/>
                <w:sz w:val="19"/>
              </w:rPr>
              <w:t>Differentiator</w:t>
            </w:r>
          </w:p>
        </w:tc>
        <w:tc>
          <w:tcPr>
            <w:tcW w:type="dxa" w:w="6624"/>
            <w:shd w:fill="E8EEF5"/>
            <w:tcMar>
              <w:top w:w="80" w:type="dxa"/>
              <w:start w:w="120" w:type="dxa"/>
              <w:bottom w:w="80" w:type="dxa"/>
              <w:end w:w="120" w:type="dxa"/>
            </w:tcMar>
            <w:vAlign w:val="center"/>
          </w:tcPr>
          <w:p>
            <w:pPr>
              <w:spacing w:after="0"/>
            </w:pPr>
            <w:r>
              <w:rPr>
                <w:b/>
                <w:color w:val="0B2545"/>
                <w:sz w:val="19"/>
              </w:rPr>
              <w:t>Technical meaning and user value</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Complete AI-to-marketplace flow</w:t>
            </w:r>
          </w:p>
        </w:tc>
        <w:tc>
          <w:tcPr>
            <w:tcW w:type="dxa" w:w="6624"/>
            <w:tcMar>
              <w:top w:w="80" w:type="dxa"/>
              <w:start w:w="120" w:type="dxa"/>
              <w:bottom w:w="80" w:type="dxa"/>
              <w:end w:w="120" w:type="dxa"/>
            </w:tcMar>
            <w:vAlign w:val="center"/>
          </w:tcPr>
          <w:p>
            <w:pPr>
              <w:spacing w:after="0" w:line="264" w:lineRule="auto"/>
            </w:pPr>
            <w:r>
              <w:rPr>
                <w:color w:val="0B2545"/>
                <w:sz w:val="18"/>
              </w:rPr>
              <w:t>Recommendations lead into a real versioned application, review, selection and engagement workflow.</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Immutable versions</w:t>
            </w:r>
          </w:p>
        </w:tc>
        <w:tc>
          <w:tcPr>
            <w:tcW w:type="dxa" w:w="6624"/>
            <w:tcMar>
              <w:top w:w="80" w:type="dxa"/>
              <w:start w:w="120" w:type="dxa"/>
              <w:bottom w:w="80" w:type="dxa"/>
              <w:end w:w="120" w:type="dxa"/>
            </w:tcMar>
            <w:vAlign w:val="center"/>
          </w:tcPr>
          <w:p>
            <w:pPr>
              <w:spacing w:after="0" w:line="264" w:lineRule="auto"/>
            </w:pPr>
            <w:r>
              <w:rPr>
                <w:color w:val="0B2545"/>
                <w:sz w:val="18"/>
              </w:rPr>
              <w:t>Users can prove the exact terms published, proposed and accepted.</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Exact-version selection</w:t>
            </w:r>
          </w:p>
        </w:tc>
        <w:tc>
          <w:tcPr>
            <w:tcW w:type="dxa" w:w="6624"/>
            <w:tcMar>
              <w:top w:w="80" w:type="dxa"/>
              <w:start w:w="120" w:type="dxa"/>
              <w:bottom w:w="80" w:type="dxa"/>
              <w:end w:w="120" w:type="dxa"/>
            </w:tcMar>
            <w:vAlign w:val="center"/>
          </w:tcPr>
          <w:p>
            <w:pPr>
              <w:spacing w:after="0" w:line="264" w:lineRule="auto"/>
            </w:pPr>
            <w:r>
              <w:rPr>
                <w:color w:val="0B2545"/>
                <w:sz w:val="18"/>
              </w:rPr>
              <w:t>Later edits cannot silently change agreed terms.</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Database state machines</w:t>
            </w:r>
          </w:p>
        </w:tc>
        <w:tc>
          <w:tcPr>
            <w:tcW w:type="dxa" w:w="6624"/>
            <w:tcMar>
              <w:top w:w="80" w:type="dxa"/>
              <w:start w:w="120" w:type="dxa"/>
              <w:bottom w:w="80" w:type="dxa"/>
              <w:end w:w="120" w:type="dxa"/>
            </w:tcMar>
            <w:vAlign w:val="center"/>
          </w:tcPr>
          <w:p>
            <w:pPr>
              <w:spacing w:after="0" w:line="264" w:lineRule="auto"/>
            </w:pPr>
            <w:r>
              <w:rPr>
                <w:color w:val="0B2545"/>
                <w:sz w:val="18"/>
              </w:rPr>
              <w:t>Critical transitions are revalidated at the authoritative write boundary.</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Optimistic concurrency</w:t>
            </w:r>
          </w:p>
        </w:tc>
        <w:tc>
          <w:tcPr>
            <w:tcW w:type="dxa" w:w="6624"/>
            <w:tcMar>
              <w:top w:w="80" w:type="dxa"/>
              <w:start w:w="120" w:type="dxa"/>
              <w:bottom w:w="80" w:type="dxa"/>
              <w:end w:w="120" w:type="dxa"/>
            </w:tcMar>
            <w:vAlign w:val="center"/>
          </w:tcPr>
          <w:p>
            <w:pPr>
              <w:spacing w:after="0" w:line="264" w:lineRule="auto"/>
            </w:pPr>
            <w:r>
              <w:rPr>
                <w:color w:val="0B2545"/>
                <w:sz w:val="18"/>
              </w:rPr>
              <w:t>Stale tabs conflict rather than overwrite newer decisions.</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Opaque state-bound tokens</w:t>
            </w:r>
          </w:p>
        </w:tc>
        <w:tc>
          <w:tcPr>
            <w:tcW w:type="dxa" w:w="6624"/>
            <w:tcMar>
              <w:top w:w="80" w:type="dxa"/>
              <w:start w:w="120" w:type="dxa"/>
              <w:bottom w:w="80" w:type="dxa"/>
              <w:end w:w="120" w:type="dxa"/>
            </w:tcMar>
            <w:vAlign w:val="center"/>
          </w:tcPr>
          <w:p>
            <w:pPr>
              <w:spacing w:after="0" w:line="264" w:lineRule="auto"/>
            </w:pPr>
            <w:r>
              <w:rPr>
                <w:color w:val="0B2545"/>
                <w:sz w:val="18"/>
              </w:rPr>
              <w:t>A token becomes invalid when relevant state changes.</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Transactional idempotency</w:t>
            </w:r>
          </w:p>
        </w:tc>
        <w:tc>
          <w:tcPr>
            <w:tcW w:type="dxa" w:w="6624"/>
            <w:tcMar>
              <w:top w:w="80" w:type="dxa"/>
              <w:start w:w="120" w:type="dxa"/>
              <w:bottom w:w="80" w:type="dxa"/>
              <w:end w:w="120" w:type="dxa"/>
            </w:tcMar>
            <w:vAlign w:val="center"/>
          </w:tcPr>
          <w:p>
            <w:pPr>
              <w:spacing w:after="0" w:line="264" w:lineRule="auto"/>
            </w:pPr>
            <w:r>
              <w:rPr>
                <w:color w:val="0B2545"/>
                <w:sz w:val="18"/>
              </w:rPr>
              <w:t>Safe retries do not duplicate marketplace effects.</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Deterministic row locks</w:t>
            </w:r>
          </w:p>
        </w:tc>
        <w:tc>
          <w:tcPr>
            <w:tcW w:type="dxa" w:w="6624"/>
            <w:tcMar>
              <w:top w:w="80" w:type="dxa"/>
              <w:start w:w="120" w:type="dxa"/>
              <w:bottom w:w="80" w:type="dxa"/>
              <w:end w:w="120" w:type="dxa"/>
            </w:tcMar>
            <w:vAlign w:val="center"/>
          </w:tcPr>
          <w:p>
            <w:pPr>
              <w:spacing w:after="0" w:line="264" w:lineRule="auto"/>
            </w:pPr>
            <w:r>
              <w:rPr>
                <w:color w:val="0B2545"/>
                <w:sz w:val="18"/>
              </w:rPr>
              <w:t>Concurrent requests serialize predictably and avoid two winners.</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Atomic multi-aggregate transactions</w:t>
            </w:r>
          </w:p>
        </w:tc>
        <w:tc>
          <w:tcPr>
            <w:tcW w:type="dxa" w:w="6624"/>
            <w:tcMar>
              <w:top w:w="80" w:type="dxa"/>
              <w:start w:w="120" w:type="dxa"/>
              <w:bottom w:w="80" w:type="dxa"/>
              <w:end w:w="120" w:type="dxa"/>
            </w:tcMar>
            <w:vAlign w:val="center"/>
          </w:tcPr>
          <w:p>
            <w:pPr>
              <w:spacing w:after="0" w:line="264" w:lineRule="auto"/>
            </w:pPr>
            <w:r>
              <w:rPr>
                <w:color w:val="0B2545"/>
                <w:sz w:val="18"/>
              </w:rPr>
              <w:t>Selection cannot partially update the request, application, gig or engagement.</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RLS and service-only RPCs</w:t>
            </w:r>
          </w:p>
        </w:tc>
        <w:tc>
          <w:tcPr>
            <w:tcW w:type="dxa" w:w="6624"/>
            <w:tcMar>
              <w:top w:w="80" w:type="dxa"/>
              <w:start w:w="120" w:type="dxa"/>
              <w:bottom w:w="80" w:type="dxa"/>
              <w:end w:w="120" w:type="dxa"/>
            </w:tcMar>
            <w:vAlign w:val="center"/>
          </w:tcPr>
          <w:p>
            <w:pPr>
              <w:spacing w:after="0" w:line="264" w:lineRule="auto"/>
            </w:pPr>
            <w:r>
              <w:rPr>
                <w:color w:val="0B2545"/>
                <w:sz w:val="18"/>
              </w:rPr>
              <w:t>Browser access is scoped and protected writes remain behind FastAPI.</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Append-only audit and sanitized DTOs</w:t>
            </w:r>
          </w:p>
        </w:tc>
        <w:tc>
          <w:tcPr>
            <w:tcW w:type="dxa" w:w="6624"/>
            <w:tcMar>
              <w:top w:w="80" w:type="dxa"/>
              <w:start w:w="120" w:type="dxa"/>
              <w:bottom w:w="80" w:type="dxa"/>
              <w:end w:w="120" w:type="dxa"/>
            </w:tcMar>
            <w:vAlign w:val="center"/>
          </w:tcPr>
          <w:p>
            <w:pPr>
              <w:spacing w:after="0" w:line="264" w:lineRule="auto"/>
            </w:pPr>
            <w:r>
              <w:rPr>
                <w:color w:val="0B2545"/>
                <w:sz w:val="18"/>
              </w:rPr>
              <w:t>History remains inspectable while private columns stay out of ordinary responses.</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Honest AI fallback</w:t>
            </w:r>
          </w:p>
        </w:tc>
        <w:tc>
          <w:tcPr>
            <w:tcW w:type="dxa" w:w="6624"/>
            <w:tcMar>
              <w:top w:w="80" w:type="dxa"/>
              <w:start w:w="120" w:type="dxa"/>
              <w:bottom w:w="80" w:type="dxa"/>
              <w:end w:w="120" w:type="dxa"/>
            </w:tcMar>
            <w:vAlign w:val="center"/>
          </w:tcPr>
          <w:p>
            <w:pPr>
              <w:spacing w:after="0" w:line="264" w:lineRule="auto"/>
            </w:pPr>
            <w:r>
              <w:rPr>
                <w:color w:val="0B2545"/>
                <w:sz w:val="18"/>
              </w:rPr>
              <w:t>Users see keyword mode when semantics are unavailable—not fabricated confidence.</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Price-independent suitability</w:t>
            </w:r>
          </w:p>
        </w:tc>
        <w:tc>
          <w:tcPr>
            <w:tcW w:type="dxa" w:w="6624"/>
            <w:tcMar>
              <w:top w:w="80" w:type="dxa"/>
              <w:start w:w="120" w:type="dxa"/>
              <w:bottom w:w="80" w:type="dxa"/>
              <w:end w:w="120" w:type="dxa"/>
            </w:tcMar>
            <w:vAlign w:val="center"/>
          </w:tcPr>
          <w:p>
            <w:pPr>
              <w:spacing w:after="0" w:line="264" w:lineRule="auto"/>
            </w:pPr>
            <w:r>
              <w:rPr>
                <w:color w:val="0B2545"/>
                <w:sz w:val="18"/>
              </w:rPr>
              <w:t>Technical fit remains distinct from commercial bidding.</w:t>
            </w:r>
          </w:p>
        </w:tc>
      </w:tr>
      <w:tr>
        <w:trPr>
          <w:cantSplit/>
        </w:trPr>
        <w:tc>
          <w:tcPr>
            <w:tcW w:type="dxa" w:w="2736"/>
            <w:tcMar>
              <w:top w:w="80" w:type="dxa"/>
              <w:start w:w="120" w:type="dxa"/>
              <w:bottom w:w="80" w:type="dxa"/>
              <w:end w:w="120" w:type="dxa"/>
            </w:tcMar>
            <w:vAlign w:val="center"/>
          </w:tcPr>
          <w:p>
            <w:pPr>
              <w:spacing w:after="0" w:line="264" w:lineRule="auto"/>
            </w:pPr>
            <w:r>
              <w:rPr>
                <w:color w:val="0B2545"/>
                <w:sz w:val="18"/>
              </w:rPr>
              <w:t>Consent-based contact exchange</w:t>
            </w:r>
          </w:p>
        </w:tc>
        <w:tc>
          <w:tcPr>
            <w:tcW w:type="dxa" w:w="6624"/>
            <w:tcMar>
              <w:top w:w="80" w:type="dxa"/>
              <w:start w:w="120" w:type="dxa"/>
              <w:bottom w:w="80" w:type="dxa"/>
              <w:end w:w="120" w:type="dxa"/>
            </w:tcMar>
            <w:vAlign w:val="center"/>
          </w:tcPr>
          <w:p>
            <w:pPr>
              <w:spacing w:after="0" w:line="264" w:lineRule="auto"/>
            </w:pPr>
            <w:r>
              <w:rPr>
                <w:color w:val="0B2545"/>
                <w:sz w:val="18"/>
              </w:rPr>
              <w:t>Participants control each contact method and can revoke it.</w:t>
            </w:r>
          </w:p>
        </w:tc>
      </w:tr>
    </w:tbl>
    <w:p>
      <w:pPr>
        <w:spacing w:after="20"/>
      </w:pPr>
    </w:p>
    <w:p>
      <w:pPr>
        <w:pStyle w:val="Heading1"/>
      </w:pPr>
      <w:r>
        <w:t>9. Verification and engineering quality</w:t>
      </w:r>
    </w:p>
    <w:p>
      <w:pPr>
        <w:pStyle w:val="Heading2"/>
      </w:pPr>
      <w:r>
        <w:t>Latest verified facts</w:t>
      </w:r>
    </w:p>
    <w:p>
      <w:pPr>
        <w:pStyle w:val="ListBullet"/>
      </w:pPr>
      <w:r>
        <w:t>10 pgTAP files and 526 database assertions passed.</w:t>
      </w:r>
    </w:p>
    <w:p>
      <w:pPr>
        <w:pStyle w:val="ListBullet"/>
      </w:pPr>
      <w:r>
        <w:t>Database schema lint reported no errors.</w:t>
      </w:r>
    </w:p>
    <w:p>
      <w:pPr>
        <w:pStyle w:val="ListBullet"/>
      </w:pPr>
      <w:r>
        <w:t>440 backend cases completed successfully; 3 intentional opt-in Supabase smoke cases were skipped.</w:t>
      </w:r>
    </w:p>
    <w:p>
      <w:pPr>
        <w:pStyle w:val="ListBullet"/>
      </w:pPr>
      <w:r>
        <w:t>Application, test and verification scripts compiled.</w:t>
      </w:r>
    </w:p>
    <w:p>
      <w:pPr>
        <w:pStyle w:val="ListBullet"/>
      </w:pPr>
      <w:r>
        <w:t>60 frontend tests, ESLint, TypeScript and the production Vite build passed.</w:t>
      </w:r>
    </w:p>
    <w:p>
      <w:pPr>
        <w:pStyle w:val="ListBullet"/>
      </w:pPr>
      <w:r>
        <w:t>Every separate-session concurrency harness from 7B through 7I passed.</w:t>
      </w:r>
    </w:p>
    <w:p>
      <w:pPr>
        <w:pStyle w:val="ListBullet"/>
      </w:pPr>
      <w:r>
        <w:t>The focused RLS/RPC/security suite passed 18 assertions.</w:t>
      </w:r>
    </w:p>
    <w:p>
      <w:pPr>
        <w:pStyle w:val="ListBullet"/>
      </w:pPr>
      <w:r>
        <w:t>Four authenticated browser actors completed primary workflow, invalidation, engagement/contact and isolation scenarios.</w:t>
      </w:r>
    </w:p>
    <w:p>
      <w:pPr>
        <w:pStyle w:val="ListBullet"/>
      </w:pPr>
      <w:r>
        <w:t>Reveal, hide, revocation, stale denial and no-store behavior passed.</w:t>
      </w:r>
    </w:p>
    <w:p>
      <w:pPr>
        <w:pStyle w:val="ListBullet"/>
      </w:pPr>
      <w:r>
        <w:t>Nothing was deployed or applied to hosted Supabase.</w:t>
      </w:r>
    </w:p>
    <w:p>
      <w:pPr>
        <w:pStyle w:val="Heading2"/>
      </w:pPr>
      <w:r>
        <w:t>Intentional skips, warnings and limitations</w:t>
      </w:r>
    </w:p>
    <w:p>
      <w:pPr>
        <w:pStyle w:val="ListBullet"/>
      </w:pPr>
      <w:r>
        <w:t>The three skipped backend cases require external credentials and pre-existing smoke fixtures; equivalent isolated local paths were exercised in the browser gate.</w:t>
      </w:r>
    </w:p>
    <w:p>
      <w:pPr>
        <w:pStyle w:val="ListBullet"/>
      </w:pPr>
      <w:r>
        <w:t>Three PostgreSQL advisor performance warnings remain for overlapping permissive owner/admin reads.</w:t>
      </w:r>
    </w:p>
    <w:p>
      <w:pPr>
        <w:pStyle w:val="ListBullet"/>
      </w:pPr>
      <w:r>
        <w:t>The reported React Router RSC advisory is non-applicable to this client-only Vite SPA without RSC or server actions.</w:t>
      </w:r>
    </w:p>
    <w:p>
      <w:pPr>
        <w:pStyle w:val="ListBullet"/>
      </w:pPr>
      <w:r>
        <w:t>Existing Starlette/SWIG deprecations, Node type-stripping notice and Supabase CLI update notice are non-blocking.</w:t>
      </w:r>
    </w:p>
    <w:p>
      <w:pPr>
        <w:pStyle w:val="ListBullet"/>
      </w:pPr>
      <w:r>
        <w:t>Evaluation fixtures are local/demo evidence; no production accuracy, fairness or hiring-outcome claim is made.</w:t>
      </w:r>
    </w:p>
    <w:p>
      <w:pPr>
        <w:pStyle w:val="Evidence"/>
      </w:pPr>
      <w:r>
        <w:t>Evidence: docs/verification/milestone-7-closure.md:L16-L42; docs/verification/milestone-7k-closure.md:L49-L93; docs/verification/milestone-7k-closure.md:L210-L237</w:t>
      </w:r>
    </w:p>
    <w:p>
      <w:r>
        <w:br w:type="page"/>
      </w:r>
    </w:p>
    <w:p>
      <w:pPr>
        <w:pStyle w:val="Heading1"/>
      </w:pPr>
      <w:r>
        <w:t>10. Detailed 12–15 minute speaking script</w:t>
      </w:r>
    </w:p>
    <w:p>
      <w:r>
        <w:t>GigMatch AI is a developer-focused freelance marketplace for connecting technical freelancers, students and developers with suitable gigs.</w:t>
      </w:r>
    </w:p>
    <w:p>
      <w:r>
        <w:t>The problem is not simply that jobs need to be listed. Traditional portals often force users to compare unstructured resumes and gig descriptions manually. They also mix technical suitability, commercial bidding and communication into workflows that are difficult to verify. GigMatch addresses this by combining structured profiles, explainable matching and a carefully controlled marketplace workflow.</w:t>
      </w:r>
    </w:p>
    <w:p>
      <w:r>
        <w:t>The architecture has five layers. The frontend uses React, Vite, TypeScript and Tailwind and is responsible for interaction and presentation. It communicates with a FastAPI backend using JSON and the current Supabase bearer token. FastAPI verifies the user, resolves the trusted role from the database, validates strict Pydantic contracts and delegates to pure domain logic or data-access repositories. Supabase provides authentication, while PostgreSQL stores profiles, parsed data, gigs, applications, immutable versions, selections, engagements and audit history. RLS protects reads, and critical mutations run through service-only PostgreSQL RPCs.</w:t>
      </w:r>
    </w:p>
    <w:p>
      <w:r>
        <w:t>A useful example is selection acceptance. The browser sends an action token and idempotency key, but it does not claim which freelancer it represents. FastAPI verifies the access token and resolves the real user. PostgreSQL then locks the relevant request, gig and application, checks that the request is pending and unexpired, verifies exact gig and proposal versions, and performs all effects in one transaction. The application becomes Confirmed, the gig becomes Filled, competing applications are closed and an engagement snapshot is created. If any check fails, the entire transaction rolls back.</w:t>
      </w:r>
    </w:p>
    <w:p>
      <w:r>
        <w:t>The AI pipeline begins with resume and gig input. Text can be pasted or extracted from PDF or DOCX. A deterministic taxonomy-based extractor identifies technical skills. The user reviews the structured result before persistence.</w:t>
      </w:r>
    </w:p>
    <w:p>
      <w:r>
        <w:t>Matching uses normalized freelancer and gig entities. Keyword scoring measures required-skill coverage, preferred-skill coverage and category alignment. Semantic matching converts stable profile and gig text into embeddings and uses cosine similarity. Hybrid ranking combines keyword and semantic scores, normally with weights of 0.55 and 0.45.</w:t>
      </w:r>
    </w:p>
    <w:p>
      <w:r>
        <w:t>The genuine AI component is the embedding model used for semantic representation. Keyword scoring, hybrid arithmetic, explanations and skill-gap severity are deterministic. This distinction matters because the project does not label every automated function as AI.</w:t>
      </w:r>
    </w:p>
    <w:p>
      <w:r>
        <w:t>If embeddings are unavailable, the system does not invent a hybrid score. It falls back to keyword ranking and tells the frontend that semantic capability was unavailable. Explanations show matched required and preferred skills, missing skills, focus areas and score evidence. Proposal price is deliberately excluded from suitability ranking because a low bid does not mean stronger technical skills.</w:t>
      </w:r>
    </w:p>
    <w:p>
      <w:r>
        <w:t>The backend is divided by responsibility. Parsing modules normalize text and extract skills. Matching modules define entities, builders, keyword, semantic, hybrid and explanation logic. Evaluation modules load seeded relevance fixtures and compute Precision at K, Recall at K, NDCG, average precision and MAP. Marketplace modules implement pure state machines, request contracts, safe response builders and repository adapters. This separation allows domain rules to be unit-tested without HTTP, database or authentication dependencies.</w:t>
      </w:r>
    </w:p>
    <w:p>
      <w:r>
        <w:t>The project developed incrementally. Milestone 0 created the monorepo foundation. Milestone 1 added Supabase Auth and trusted roles. Milestone 2 added structured freelancer and client profiles and gig posting. Milestone 3 developed deterministic parsing, reviewed persistence and document extraction. Milestone 4 built keyword, semantic and hybrid matching. Milestone 5 added explanations and skill-gap analysis. Milestone 6 created honest offline evaluation and an admin-only console.</w:t>
      </w:r>
    </w:p>
    <w:p>
      <w:r>
        <w:t>Milestone 7 turned those foundations into a complete marketplace. First, 7A defined domain contracts. Gig lifecycle, intake and operational pause are separate instead of compressed into one ambiguous status. Applications and engagements have explicit transitions, and commercial structures support fixed-price, hourly and open proposals.</w:t>
      </w:r>
    </w:p>
    <w:p>
      <w:r>
        <w:t>Milestone 7B introduced immutable gig and application versions, selection requests, engagements and audit history. Selection confirmation became a database transaction with deterministic locks.</w:t>
      </w:r>
    </w:p>
    <w:p>
      <w:r>
        <w:t>Milestone 7C added safe discovery and versioned gig publication. Published edits are classified as minor or material. Material changes create a new authoritative version and can invalidate dependent applications or requests. Preview fingerprints and optimistic concurrency protect users working in stale tabs.</w:t>
      </w:r>
    </w:p>
    <w:p>
      <w:r>
        <w:t>Milestone 7D implemented structured applications. An application binds to the exact gig version reviewed by the freelancer. Editing creates another immutable application version. The freelancer can withdraw, reaffirm unchanged terms, update after material changes, or reapply when policy permits.</w:t>
      </w:r>
    </w:p>
    <w:p>
      <w:r>
        <w:t>Milestone 7E added client applicant review. Only actual applicants are ranked, but the complete pool remains visible. Applicants without matching input are marked unrankable rather than removed. Shortlisting is private and independent of formal decisions.</w:t>
      </w:r>
    </w:p>
    <w:p>
      <w:r>
        <w:t>Milestone 7F added structured Q&amp;A. This is intentionally not general chat. It supports bounded clarification, append-only corrections, answers, declines, private reports and deterministic checks for contact, credentials and off-platform content. Proposal revisions become official only when they create a new immutable application version.</w:t>
      </w:r>
    </w:p>
    <w:p>
      <w:r>
        <w:t>Milestone 7G added selection requests. Each request binds exact gig and application versions and has a deadline, state-bound tokens and transactional idempotency. Only one active request exists per gig. Acceptance performs all marketplace effects atomically.</w:t>
      </w:r>
    </w:p>
    <w:p>
      <w:r>
        <w:t>Milestone 7H added the engagement workspace. Participants progress through kickoff preparation, work, completion or cancellation. A failed engagement may reopen the gig, and reconsideration can return to an earlier applicant without rewriting historical Confirmed records.</w:t>
      </w:r>
    </w:p>
    <w:p>
      <w:r>
        <w:t>Milestone 7I added secure contact exchange. Sharing is engagement-scoped and method-specific. Email and phone rely on verified sources, WhatsApp needs separate consent, and URLs must pass HTTPS validation. Values use AES-256-GCM encryption, fingerprints use HMAC, and ordinary reads remain masked. A reveal is ephemeral, revalidates authorization and returns no-store headers. Revocation retires encrypted material while preserving non-plaintext audit evidence.</w:t>
      </w:r>
    </w:p>
    <w:p>
      <w:r>
        <w:t>Milestone 7J consolidated freelancer and client dashboards and improved lazy frontend routing. Milestone 7K then completed clean replay, regression tests, concurrency harnesses and a four-actor browser workflow.</w:t>
      </w:r>
    </w:p>
    <w:p>
      <w:r>
        <w:t>The frontend exposes these capabilities without becoming authoritative. It has protected routes, feature-specific clients, runtime guards and explicit loading, empty, error and ready states. It renders only backend-authorized actions and reloads when state becomes stale. It never calculates official metrics or stores revealed contact values.</w:t>
      </w:r>
    </w:p>
    <w:p>
      <w:r>
        <w:t>What differentiates this project is not one algorithm. It is the complete connection between explainable matching and a secure marketplace: immutable histories, exact-version selection, database transactions, action tokens, idempotency, row locks, RLS, sanitized DTOs and consent-based contact sharing.</w:t>
      </w:r>
    </w:p>
    <w:p>
      <w:r>
        <w:t>The latest closure reports 526 passing database assertions, 440 backend cases with three intentional smoke skips, 60 frontend tests, successful linting, compilation and production build, all concurrency harnesses passing, and successful four-actor local browser verification.</w:t>
      </w:r>
    </w:p>
    <w:p>
      <w:r>
        <w:t>The limitations are explicit. The system is verified locally, not deployed to production. Evaluation fixtures are seeded demonstration evidence. It does not implement payments, escrow, legal contracts, general chat or work delivery.</w:t>
      </w:r>
    </w:p>
    <w:p>
      <w:r>
        <w:t>In conclusion, GigMatch AI demonstrates both AI engineering and dependable software architecture. Semantic embeddings improve discovery, but deterministic contracts and database transactions protect the workflow. The result is not merely a job-listing application; it is an explainable, versioned and security-conscious technical marketplace prototype.</w:t>
      </w:r>
    </w:p>
    <w:p>
      <w:r>
        <w:br w:type="page"/>
      </w:r>
    </w:p>
    <w:p>
      <w:pPr>
        <w:pStyle w:val="Heading1"/>
      </w:pPr>
      <w:r>
        <w:t>11. Faculty viva questions</w:t>
      </w:r>
    </w:p>
    <w:p>
      <w:pPr>
        <w:pStyle w:val="Heading2"/>
      </w:pPr>
      <w:r>
        <w:t>What part of the system uses AI?</w:t>
      </w:r>
    </w:p>
    <w:p>
      <w:r>
        <w:t>The learned embedding provider used for semantic representations. Cosine-based semantic ranking consumes those embeddings. Parsing rules, keyword scoring, hybrid weighting, explanations and metrics are deterministic.</w:t>
      </w:r>
    </w:p>
    <w:p>
      <w:pPr>
        <w:pStyle w:val="Heading2"/>
      </w:pPr>
      <w:r>
        <w:t>Why not use only semantic matching?</w:t>
      </w:r>
    </w:p>
    <w:p>
      <w:r>
        <w:t>Semantic ranking captures conceptual similarity but can be unavailable, expensive and less directly explainable. Keyword ranking provides transparent skill coverage and a dependable fallback.</w:t>
      </w:r>
    </w:p>
    <w:p>
      <w:pPr>
        <w:pStyle w:val="Heading2"/>
      </w:pPr>
      <w:r>
        <w:t>How does hybrid ranking work?</w:t>
      </w:r>
    </w:p>
    <w:p>
      <w:r>
        <w:t>It combines normalized keyword and semantic scores. The default formula is 0.55 × keyword score plus 0.45 × semantic score.</w:t>
      </w:r>
    </w:p>
    <w:p>
      <w:pPr>
        <w:pStyle w:val="Heading2"/>
      </w:pPr>
      <w:r>
        <w:t>What happens if embeddings fail?</w:t>
      </w:r>
    </w:p>
    <w:p>
      <w:r>
        <w:t>The system returns explicitly labelled keyword fallback. It does not fabricate a hybrid score.</w:t>
      </w:r>
    </w:p>
    <w:p>
      <w:pPr>
        <w:pStyle w:val="Heading2"/>
      </w:pPr>
      <w:r>
        <w:t>Does proposal price affect ranking?</w:t>
      </w:r>
    </w:p>
    <w:p>
      <w:r>
        <w:t>No. Price is commercial information; suitability measures technical alignment. Cheaper does not mean better qualified.</w:t>
      </w:r>
    </w:p>
    <w:p>
      <w:pPr>
        <w:pStyle w:val="Heading2"/>
      </w:pPr>
      <w:r>
        <w:t>Why use FastAPI?</w:t>
      </w:r>
    </w:p>
    <w:p>
      <w:r>
        <w:t>It offers strict Pydantic contracts, dependency injection, concise routing and a natural Python environment for matching and evaluation logic.</w:t>
      </w:r>
    </w:p>
    <w:p>
      <w:pPr>
        <w:pStyle w:val="Heading2"/>
      </w:pPr>
      <w:r>
        <w:t>Why use Supabase?</w:t>
      </w:r>
    </w:p>
    <w:p>
      <w:r>
        <w:t>It combines authentication, PostgreSQL and RLS while retaining normal SQL constraints, transactions and RPCs.</w:t>
      </w:r>
    </w:p>
    <w:p>
      <w:pPr>
        <w:pStyle w:val="Heading2"/>
      </w:pPr>
      <w:r>
        <w:t>Why use PostgreSQL RPCs?</w:t>
      </w:r>
    </w:p>
    <w:p>
      <w:r>
        <w:t>Critical actions modify several aggregates. A database RPC revalidates and commits them in one transaction, eliminating partial state.</w:t>
      </w:r>
    </w:p>
    <w:p>
      <w:pPr>
        <w:pStyle w:val="Heading2"/>
      </w:pPr>
      <w:r>
        <w:t>Why not perform all state changes in Python?</w:t>
      </w:r>
    </w:p>
    <w:p>
      <w:r>
        <w:t>A Python check-then-write sequence cannot by itself guarantee concurrent requests observed the same state. The database must revalidate under row locks.</w:t>
      </w:r>
    </w:p>
    <w:p>
      <w:pPr>
        <w:pStyle w:val="Heading2"/>
      </w:pPr>
      <w:r>
        <w:t>What is RLS?</w:t>
      </w:r>
    </w:p>
    <w:p>
      <w:r>
        <w:t>Row-Level Security is a PostgreSQL policy mechanism that decides which rows a database role may read or modify.</w:t>
      </w:r>
    </w:p>
    <w:p>
      <w:pPr>
        <w:pStyle w:val="Heading2"/>
      </w:pPr>
      <w:r>
        <w:t>Why are gig and application versions immutable?</w:t>
      </w:r>
    </w:p>
    <w:p>
      <w:r>
        <w:t>They preserve exactly what was published, proposed and accepted. History cannot be silently rewritten.</w:t>
      </w:r>
    </w:p>
    <w:p>
      <w:pPr>
        <w:pStyle w:val="Heading2"/>
      </w:pPr>
      <w:r>
        <w:t>What is optimistic concurrency?</w:t>
      </w:r>
    </w:p>
    <w:p>
      <w:r>
        <w:t>A mutation includes the state or version the user observed. If current state differs, the operation conflicts and the client reloads.</w:t>
      </w:r>
    </w:p>
    <w:p>
      <w:pPr>
        <w:pStyle w:val="Heading2"/>
      </w:pPr>
      <w:r>
        <w:t>What is idempotency?</w:t>
      </w:r>
    </w:p>
    <w:p>
      <w:r>
        <w:t>Retrying the same operation key and payload replays the earlier result instead of duplicating effects. A different payload with the same key is rejected.</w:t>
      </w:r>
    </w:p>
    <w:p>
      <w:pPr>
        <w:pStyle w:val="Heading2"/>
      </w:pPr>
      <w:r>
        <w:t>How are race conditions prevented?</w:t>
      </w:r>
    </w:p>
    <w:p>
      <w:r>
        <w:t>Transactions, deterministic locks, unique constraints, state revalidation, lifecycle versions, action tokens and separate-session race tests.</w:t>
      </w:r>
    </w:p>
    <w:p>
      <w:pPr>
        <w:pStyle w:val="Heading2"/>
      </w:pPr>
      <w:r>
        <w:t>How do you prevent two winners?</w:t>
      </w:r>
    </w:p>
    <w:p>
      <w:r>
        <w:t>Only one active request is allowed, confirmation locks authoritative rows, and the transaction creates at most one non-cancelled engagement.</w:t>
      </w:r>
    </w:p>
    <w:p>
      <w:pPr>
        <w:pStyle w:val="Heading2"/>
      </w:pPr>
      <w:r>
        <w:t>What is exact-version binding?</w:t>
      </w:r>
    </w:p>
    <w:p>
      <w:r>
        <w:t>A request refers to the exact gig version and proposal version reviewed. A later change makes the old authority stale or invalid.</w:t>
      </w:r>
    </w:p>
    <w:p>
      <w:pPr>
        <w:pStyle w:val="Heading2"/>
      </w:pPr>
      <w:r>
        <w:t>Why is Q&amp;A not chat?</w:t>
      </w:r>
    </w:p>
    <w:p>
      <w:r>
        <w:t>It is asynchronous and structured: bounded early turns, explicit operations, append-only correction, rate limits, safety checks and separate proposal authority.</w:t>
      </w:r>
    </w:p>
    <w:p>
      <w:pPr>
        <w:pStyle w:val="Heading2"/>
      </w:pPr>
      <w:r>
        <w:t>How do you secure contact information?</w:t>
      </w:r>
    </w:p>
    <w:p>
      <w:r>
        <w:t>Verified sources, per-method consent, AES-256-GCM encryption, HMAC fingerprints, masked reads, reauthorized reveals, no-store headers and revocation.</w:t>
      </w:r>
    </w:p>
    <w:p>
      <w:pPr>
        <w:pStyle w:val="Heading2"/>
      </w:pPr>
      <w:r>
        <w:t>What does AES-256-GCM provide?</w:t>
      </w:r>
    </w:p>
    <w:p>
      <w:r>
        <w:t>Confidentiality and authenticated integrity. Tampered ciphertext or associated context fails authentication.</w:t>
      </w:r>
    </w:p>
    <w:p>
      <w:pPr>
        <w:pStyle w:val="Heading2"/>
      </w:pPr>
      <w:r>
        <w:t>Why are contact reveals ephemeral?</w:t>
      </w:r>
    </w:p>
    <w:p>
      <w:r>
        <w:t>The full value is needed briefly but should not persist in ordinary DTOs, browser state, caches, logs or screenshots.</w:t>
      </w:r>
    </w:p>
    <w:p>
      <w:pPr>
        <w:pStyle w:val="Heading2"/>
      </w:pPr>
      <w:r>
        <w:t>How does revocation work?</w:t>
      </w:r>
    </w:p>
    <w:p>
      <w:r>
        <w:t>The share becomes revoked and ciphertext/nonce are retired. Future and stale reveals fail while non-secret audit evidence remains.</w:t>
      </w:r>
    </w:p>
    <w:p>
      <w:pPr>
        <w:pStyle w:val="Heading2"/>
      </w:pPr>
      <w:r>
        <w:t>What happens after a failed engagement?</w:t>
      </w:r>
    </w:p>
    <w:p>
      <w:r>
        <w:t>Authorized participants can reopen the gig and optionally invite reconsideration without changing the historical Confirmed application.</w:t>
      </w:r>
    </w:p>
    <w:p>
      <w:pPr>
        <w:pStyle w:val="Heading2"/>
      </w:pPr>
      <w:r>
        <w:t>How is this different from a normal job portal?</w:t>
      </w:r>
    </w:p>
    <w:p>
      <w:r>
        <w:t>It adds explainable matching, immutable versions, exact-version selection, transactional state machines, concurrency protection and secure consent-based contact sharing.</w:t>
      </w:r>
    </w:p>
    <w:p>
      <w:pPr>
        <w:pStyle w:val="Heading2"/>
      </w:pPr>
      <w:r>
        <w:t>How is this different from Upwork?</w:t>
      </w:r>
    </w:p>
    <w:p>
      <w:r>
        <w:t>It is an academic prototype focused on explainability and verifiable invariants. It does not claim Upwork’s scale, payments, escrow, contracts, messaging or operational ecosystem.</w:t>
      </w:r>
    </w:p>
    <w:p>
      <w:pPr>
        <w:pStyle w:val="Heading2"/>
      </w:pPr>
      <w:r>
        <w:t>Why exclude payments and contracts?</w:t>
      </w:r>
    </w:p>
    <w:p>
      <w:r>
        <w:t>They introduce regulated financial, legal, dispute and compliance responsibilities outside the chosen matching and pre-engagement scope.</w:t>
      </w:r>
    </w:p>
    <w:p>
      <w:pPr>
        <w:pStyle w:val="Heading2"/>
      </w:pPr>
      <w:r>
        <w:t>What are the limitations?</w:t>
      </w:r>
    </w:p>
    <w:p>
      <w:r>
        <w:t>Local rather than production deployment, seeded evaluation data, no production-scale retrieval/outcome claims, and no payments, escrow, contracts, general chat or work delivery.</w:t>
      </w:r>
    </w:p>
    <w:p>
      <w:pPr>
        <w:pStyle w:val="Heading2"/>
      </w:pPr>
      <w:r>
        <w:t>What would be implemented next?</w:t>
      </w:r>
    </w:p>
    <w:p>
      <w:r>
        <w:t>Hosted hardening, observability, key-rotation operations, production relevance data, fairness evaluation, scalable vector retrieval and stronger moderation; regulated features only with appropriate legal and security design.</w:t>
      </w:r>
    </w:p>
    <w:p>
      <w:pPr>
        <w:pStyle w:val="Heading1"/>
      </w:pPr>
      <w:r>
        <w:t>Repository evidence note</w:t>
      </w:r>
    </w:p>
    <w:p>
      <w:r>
        <w:t>All technical claims in this guide are based on the inspected repository implementation, migrations, tests and final closure reports. Earlier milestone counts and partial browser-smoke notes were not added together; the latest Milestone 7K closure was treated as the authoritative final verification record. The repository was not modified as part of the original analysis. This DOCX is a presentation artifact created at the user’s request.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86069"/>
        <w:sz w:val="16"/>
      </w:rPr>
      <w:t>GIGMATCH AI  |  TECHNICAL 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860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
    <w:name w:val="Evidence"/>
    <w:pPr>
      <w:spacing w:before="40" w:after="100"/>
      <w:ind w:left="288"/>
    </w:pPr>
    <w:rPr>
      <w:rFonts w:ascii="Calibri" w:hAnsi="Calibri"/>
      <w:i/>
      <w:color w:val="5860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GigMatch AI — Complete Technical Presentation Guide</dc:title>
  <dc:subject>Architecture, AI matching, marketplace workflow, security, verification, speaking script and viva guide</dc:subject>
  <dc:creator>GigMatch AI Project Team</dc:creator>
  <cp:keywords>GigMatch AI, FastAPI, Supabase, PostgreSQL, React, AI matching, final-year project</cp:keywords>
  <dc:description>generated by python-docx</dc:description>
  <cp:lastModifiedBy/>
  <cp:revision>1</cp:revision>
  <dcterms:created xsi:type="dcterms:W3CDTF">2013-12-23T23:15:00Z</dcterms:created>
  <dcterms:modified xsi:type="dcterms:W3CDTF">2013-12-23T23:15:00Z</dcterms:modified>
  <cp:category/>
</cp:coreProperties>
</file>