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1188E" w14:textId="4E85172B" w:rsidR="00544515" w:rsidRPr="00544515" w:rsidRDefault="00544515" w:rsidP="00544515">
      <w:pPr>
        <w:pStyle w:val="NormalWeb"/>
        <w:rPr>
          <w:lang w:val="en-US"/>
        </w:rPr>
      </w:pPr>
      <w:r>
        <w:rPr>
          <w:rStyle w:val="Strong"/>
        </w:rPr>
        <w:t xml:space="preserve">Investors' Portfolio Analysis: A </w:t>
      </w:r>
      <w:r>
        <w:rPr>
          <w:rStyle w:val="Strong"/>
          <w:lang w:val="en-US"/>
        </w:rPr>
        <w:t>Concise See-through</w:t>
      </w:r>
    </w:p>
    <w:p w14:paraId="30E7CE43" w14:textId="793E2CAC" w:rsidR="00544515" w:rsidRDefault="00544515" w:rsidP="00544515">
      <w:pPr>
        <w:pStyle w:val="NormalWeb"/>
      </w:pPr>
      <w:r>
        <w:t xml:space="preserve">This analysis presents a comprehensive breakdown of investment preferences and </w:t>
      </w:r>
      <w:r>
        <w:t>behaviours</w:t>
      </w:r>
      <w:r>
        <w:t xml:space="preserve"> among a sample of 40 investors with an average age of 27.8. Key insights include:</w:t>
      </w:r>
    </w:p>
    <w:p w14:paraId="47E0AF8A" w14:textId="77777777" w:rsidR="00544515" w:rsidRDefault="00544515" w:rsidP="00544515">
      <w:pPr>
        <w:pStyle w:val="NormalWeb"/>
        <w:numPr>
          <w:ilvl w:val="0"/>
          <w:numId w:val="1"/>
        </w:numPr>
      </w:pPr>
      <w:r>
        <w:rPr>
          <w:rStyle w:val="Strong"/>
        </w:rPr>
        <w:t>Savings Objectives:</w:t>
      </w:r>
      <w:r>
        <w:t xml:space="preserve"> Retirement plans dominate savings objectives (24 individuals), followed by healthcare (13) and education (3). Mutual funds and equities</w:t>
      </w:r>
      <w:bookmarkStart w:id="0" w:name="_GoBack"/>
      <w:bookmarkEnd w:id="0"/>
      <w:r>
        <w:t xml:space="preserve"> are the preferred avenues, with mutual funds leading significantly.</w:t>
      </w:r>
    </w:p>
    <w:p w14:paraId="11BB1AC0" w14:textId="77777777" w:rsidR="00544515" w:rsidRDefault="00544515" w:rsidP="00544515">
      <w:pPr>
        <w:pStyle w:val="NormalWeb"/>
        <w:numPr>
          <w:ilvl w:val="0"/>
          <w:numId w:val="1"/>
        </w:numPr>
      </w:pPr>
      <w:r>
        <w:rPr>
          <w:rStyle w:val="Strong"/>
        </w:rPr>
        <w:t>Investment Duration:</w:t>
      </w:r>
      <w:r>
        <w:t xml:space="preserve"> Most investors prefer mid-to-long-term horizons, with 95 opting for 3–5 years and 54 for 1–3 years.</w:t>
      </w:r>
    </w:p>
    <w:p w14:paraId="51FDF484" w14:textId="77777777" w:rsidR="00544515" w:rsidRDefault="00544515" w:rsidP="00544515">
      <w:pPr>
        <w:pStyle w:val="NormalWeb"/>
        <w:numPr>
          <w:ilvl w:val="0"/>
          <w:numId w:val="1"/>
        </w:numPr>
      </w:pPr>
      <w:r>
        <w:rPr>
          <w:rStyle w:val="Strong"/>
        </w:rPr>
        <w:t>Gender-Based Insights:</w:t>
      </w:r>
      <w:r>
        <w:t xml:space="preserve"> Investment monitoring trends are consistent, with 3–5 years being the most monitored duration (19 investors). The data also highlight gender distribution in investment sources, with financial consultants being the most trusted source for both male and female investors.</w:t>
      </w:r>
    </w:p>
    <w:p w14:paraId="169A51B5" w14:textId="77777777" w:rsidR="00544515" w:rsidRDefault="00544515" w:rsidP="00544515">
      <w:pPr>
        <w:pStyle w:val="NormalWeb"/>
        <w:numPr>
          <w:ilvl w:val="0"/>
          <w:numId w:val="1"/>
        </w:numPr>
      </w:pPr>
      <w:r>
        <w:rPr>
          <w:rStyle w:val="Strong"/>
        </w:rPr>
        <w:t>Asset Allocation:</w:t>
      </w:r>
      <w:r>
        <w:t xml:space="preserve"> Government schemes and provident funds lead in investment volumes, reflecting a risk-averse attitude. Equity and fixed deposits follow closely, balancing the portfolio dynamics.</w:t>
      </w:r>
    </w:p>
    <w:p w14:paraId="393D59DB" w14:textId="77777777" w:rsidR="00544515" w:rsidRDefault="00544515" w:rsidP="00544515">
      <w:pPr>
        <w:pStyle w:val="NormalWeb"/>
      </w:pPr>
      <w:r>
        <w:t xml:space="preserve">This dashboard exemplifies the critical role of understanding investor </w:t>
      </w:r>
      <w:proofErr w:type="spellStart"/>
      <w:r>
        <w:t>behavior</w:t>
      </w:r>
      <w:proofErr w:type="spellEnd"/>
      <w:r>
        <w:t xml:space="preserve"> for tailored financial planning. Insights like these are invaluable for aligning investment products with the goals and risk profiles of young investors.</w:t>
      </w:r>
    </w:p>
    <w:p w14:paraId="01ACFCE1" w14:textId="77777777" w:rsidR="00544515" w:rsidRDefault="00544515" w:rsidP="00544515">
      <w:pPr>
        <w:pStyle w:val="NormalWeb"/>
      </w:pPr>
      <w:r>
        <w:t>What trends stand out to you? Share your thoughts below!</w:t>
      </w:r>
    </w:p>
    <w:p w14:paraId="646E00CE" w14:textId="77777777" w:rsidR="00371BA6" w:rsidRDefault="00371BA6"/>
    <w:sectPr w:rsidR="00371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469B7"/>
    <w:multiLevelType w:val="multilevel"/>
    <w:tmpl w:val="CF10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15"/>
    <w:rsid w:val="00371BA6"/>
    <w:rsid w:val="0054451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11DD"/>
  <w15:chartTrackingRefBased/>
  <w15:docId w15:val="{DE454732-774A-4EC4-ABA9-EB1F4698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515"/>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styleId="Strong">
    <w:name w:val="Strong"/>
    <w:basedOn w:val="DefaultParagraphFont"/>
    <w:uiPriority w:val="22"/>
    <w:qFormat/>
    <w:rsid w:val="00544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93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oitheambassador@gmail.com</dc:creator>
  <cp:keywords/>
  <dc:description/>
  <cp:lastModifiedBy>oitheambassador@gmail.com</cp:lastModifiedBy>
  <cp:revision>1</cp:revision>
  <dcterms:created xsi:type="dcterms:W3CDTF">2024-12-05T05:28:00Z</dcterms:created>
  <dcterms:modified xsi:type="dcterms:W3CDTF">2024-12-05T05:31:00Z</dcterms:modified>
</cp:coreProperties>
</file>