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运动物体位移测量实验报告</w:t>
      </w:r>
    </w:p>
    <w:p>
      <w:pPr>
        <w:pStyle w:val="Heading1"/>
      </w:pPr>
      <w:r>
        <w:t>1. 实验目标</w:t>
      </w:r>
    </w:p>
    <w:p>
      <w:r>
        <w:t>开发一个基于经典图像处理与几何视觉的系统，从固定相机拍摄的平面运动视频中测量运动物体的真实物理位移。</w:t>
      </w:r>
    </w:p>
    <w:p>
      <w:pPr>
        <w:pStyle w:val="Heading1"/>
      </w:pPr>
      <w:r>
        <w:t>2. 数据与标定</w:t>
      </w:r>
    </w:p>
    <w:p>
      <w:r>
        <w:t>输入视频目录：dataset</w:t>
      </w:r>
    </w:p>
    <w:p>
      <w:r>
        <w:t>标定点文件：calibration_points.yaml</w:t>
      </w:r>
    </w:p>
    <w:p>
      <w:r>
        <w:t>标定参照为纸上内框，真实尺寸为 50.0mm x 50.0mm。用户按左上、右上、右下、左下顺序手动点击四个角点，程序使用单应性矩阵完成像素坐标到毫米坐标的转换。</w:t>
      </w:r>
    </w:p>
    <w:p>
      <w:pPr>
        <w:pStyle w:val="Heading1"/>
      </w:pPr>
      <w:r>
        <w:t>3. 算法流程</w:t>
      </w:r>
    </w:p>
    <w:p>
      <w:pPr>
        <w:pStyle w:val="ListNumber"/>
      </w:pPr>
      <w:r>
        <w:t>用户点击内框四角，程序读取四点并计算单应性矩阵。</w:t>
      </w:r>
    </w:p>
    <w:p>
      <w:pPr>
        <w:pStyle w:val="ListNumber"/>
      </w:pPr>
      <w:r>
        <w:t>使用 cv2.findHomography 将图像坐标转换到毫米坐标。</w:t>
      </w:r>
    </w:p>
    <w:p>
      <w:pPr>
        <w:pStyle w:val="ListNumber"/>
      </w:pPr>
      <w:r>
        <w:t>用户在初始帧框选运动目标区域。</w:t>
      </w:r>
    </w:p>
    <w:p>
      <w:pPr>
        <w:pStyle w:val="ListNumber"/>
      </w:pPr>
      <w:r>
        <w:t>在目标框内提取 Shi-Tomasi 角点，并使用 Lucas-Kanade 光流逐帧跟踪。</w:t>
      </w:r>
    </w:p>
    <w:p>
      <w:pPr>
        <w:pStyle w:val="ListNumber"/>
      </w:pPr>
      <w:r>
        <w:t>使用 RANSAC 从光流点估计部分仿射变换，更新旋转目标四边形。</w:t>
      </w:r>
    </w:p>
    <w:p>
      <w:pPr>
        <w:pStyle w:val="ListNumber"/>
      </w:pPr>
      <w:r>
        <w:t>当有效点不足或 ROI 漂移时，使用初始目标的 Lab 色度模板重定位，再在旋转 ROI 内重新提取角点。</w:t>
      </w:r>
    </w:p>
    <w:p>
      <w:pPr>
        <w:pStyle w:val="ListNumber"/>
      </w:pPr>
      <w:r>
        <w:t>将目标中心映射到毫米坐标，计算直线位移和累计路径长度。</w:t>
      </w:r>
    </w:p>
    <w:p>
      <w:pPr>
        <w:pStyle w:val="Heading1"/>
      </w:pPr>
      <w:r>
        <w:t>4. 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视频</w:t>
            </w:r>
          </w:p>
        </w:tc>
        <w:tc>
          <w:tcPr>
            <w:tcW w:type="dxa" w:w="1234"/>
          </w:tcPr>
          <w:p>
            <w:r>
              <w:t>帧数</w:t>
            </w:r>
          </w:p>
        </w:tc>
        <w:tc>
          <w:tcPr>
            <w:tcW w:type="dxa" w:w="1234"/>
          </w:tcPr>
          <w:p>
            <w:r>
              <w:t>有效帧</w:t>
            </w:r>
          </w:p>
        </w:tc>
        <w:tc>
          <w:tcPr>
            <w:tcW w:type="dxa" w:w="1234"/>
          </w:tcPr>
          <w:p>
            <w:r>
              <w:t>有效率</w:t>
            </w:r>
          </w:p>
        </w:tc>
        <w:tc>
          <w:tcPr>
            <w:tcW w:type="dxa" w:w="1234"/>
          </w:tcPr>
          <w:p>
            <w:r>
              <w:t>最终位移(mm)</w:t>
            </w:r>
          </w:p>
        </w:tc>
        <w:tc>
          <w:tcPr>
            <w:tcW w:type="dxa" w:w="1234"/>
          </w:tcPr>
          <w:p>
            <w:r>
              <w:t>最大位移(mm)</w:t>
            </w:r>
          </w:p>
        </w:tc>
        <w:tc>
          <w:tcPr>
            <w:tcW w:type="dxa" w:w="1234"/>
          </w:tcPr>
          <w:p>
            <w:r>
              <w:t>状态</w:t>
            </w:r>
          </w:p>
        </w:tc>
      </w:tr>
      <w:tr>
        <w:tc>
          <w:tcPr>
            <w:tcW w:type="dxa" w:w="1234"/>
          </w:tcPr>
          <w:p>
            <w:r>
              <w:t>1.mp4</w:t>
            </w:r>
          </w:p>
        </w:tc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381.443</w:t>
            </w:r>
          </w:p>
        </w:tc>
        <w:tc>
          <w:tcPr>
            <w:tcW w:type="dxa" w:w="1234"/>
          </w:tcPr>
          <w:p>
            <w:r>
              <w:t>381.501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2.mp4</w:t>
            </w:r>
          </w:p>
        </w:tc>
        <w:tc>
          <w:tcPr>
            <w:tcW w:type="dxa" w:w="1234"/>
          </w:tcPr>
          <w:p>
            <w:r>
              <w:t>234</w:t>
            </w:r>
          </w:p>
        </w:tc>
        <w:tc>
          <w:tcPr>
            <w:tcW w:type="dxa" w:w="1234"/>
          </w:tcPr>
          <w:p>
            <w:r>
              <w:t>234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122.398</w:t>
            </w:r>
          </w:p>
        </w:tc>
        <w:tc>
          <w:tcPr>
            <w:tcW w:type="dxa" w:w="1234"/>
          </w:tcPr>
          <w:p>
            <w:r>
              <w:t>238.234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3.mp4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187.045</w:t>
            </w:r>
          </w:p>
        </w:tc>
        <w:tc>
          <w:tcPr>
            <w:tcW w:type="dxa" w:w="1234"/>
          </w:tcPr>
          <w:p>
            <w:r>
              <w:t>188.045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4.mp4</w:t>
            </w:r>
          </w:p>
        </w:tc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288.511</w:t>
            </w:r>
          </w:p>
        </w:tc>
        <w:tc>
          <w:tcPr>
            <w:tcW w:type="dxa" w:w="1234"/>
          </w:tcPr>
          <w:p>
            <w:r>
              <w:t>288.511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5.mp4</w:t>
            </w:r>
          </w:p>
        </w:tc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369.684</w:t>
            </w:r>
          </w:p>
        </w:tc>
        <w:tc>
          <w:tcPr>
            <w:tcW w:type="dxa" w:w="1234"/>
          </w:tcPr>
          <w:p>
            <w:r>
              <w:t>369.684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6.mp4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494.328</w:t>
            </w:r>
          </w:p>
        </w:tc>
        <w:tc>
          <w:tcPr>
            <w:tcW w:type="dxa" w:w="1234"/>
          </w:tcPr>
          <w:p>
            <w:r>
              <w:t>494.452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7.mp4</w:t>
            </w:r>
          </w:p>
        </w:tc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179.64</w:t>
            </w:r>
          </w:p>
        </w:tc>
        <w:tc>
          <w:tcPr>
            <w:tcW w:type="dxa" w:w="1234"/>
          </w:tcPr>
          <w:p>
            <w:r>
              <w:t>489.26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8.mp4</w:t>
            </w:r>
          </w:p>
        </w:tc>
        <w:tc>
          <w:tcPr>
            <w:tcW w:type="dxa" w:w="1234"/>
          </w:tcPr>
          <w:p>
            <w:r>
              <w:t>233</w:t>
            </w:r>
          </w:p>
        </w:tc>
        <w:tc>
          <w:tcPr>
            <w:tcW w:type="dxa" w:w="1234"/>
          </w:tcPr>
          <w:p>
            <w:r>
              <w:t>233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297.273</w:t>
            </w:r>
          </w:p>
        </w:tc>
        <w:tc>
          <w:tcPr>
            <w:tcW w:type="dxa" w:w="1234"/>
          </w:tcPr>
          <w:p>
            <w:r>
              <w:t>465.91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</w:tbl>
    <w:p>
      <w:pPr>
        <w:pStyle w:val="Heading1"/>
      </w:pPr>
      <w:r>
        <w:t>5. 曲线与标定示例</w:t>
      </w:r>
    </w:p>
    <w:p>
      <w:r>
        <w:t>1.mp4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alibr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displac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2.mp4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alibr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displac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3.mp4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calibra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isplac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4.mp4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alibra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displac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5.mp4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alibrati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displac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6.mp4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calibrati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isplace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7.mp4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alibrati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displace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8.mp4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calibratio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displace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说明与局限性</w:t>
      </w:r>
    </w:p>
    <w:p>
      <w:r>
        <w:t>当前数据集中没有人工标注的真实位移，因此本报告不计算误差百分比。若后续提供真实位移，可追加误差统计。</w:t>
      </w:r>
    </w:p>
    <w:p>
      <w:r>
        <w:t>标定精度依赖手动点击的角点和内框真实尺寸；光流跟踪依赖初始目标框、RANSAC 内点质量和模板重定位效果。若相机发生移动或目标离开标定平面，测量结果会产生误差。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pn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