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rPr/>
      </w:pPr>
      <w:bookmarkStart w:colFirst="0" w:colLast="0" w:name="_y5605avalhpo" w:id="0"/>
      <w:bookmarkEnd w:id="0"/>
      <w:r w:rsidDel="00000000" w:rsidR="00000000" w:rsidRPr="00000000">
        <w:rPr>
          <w:rtl w:val="0"/>
        </w:rPr>
        <w:t xml:space="preserve">Census Project</w:t>
      </w:r>
    </w:p>
    <w:p w:rsidR="00000000" w:rsidDel="00000000" w:rsidP="00000000" w:rsidRDefault="00000000" w:rsidRPr="00000000" w14:paraId="00000005">
      <w:pPr>
        <w:pStyle w:val="Heading1"/>
        <w:rPr/>
      </w:pPr>
      <w:bookmarkStart w:colFirst="0" w:colLast="0" w:name="_wpml2cm1z3cr" w:id="1"/>
      <w:bookmarkEnd w:id="1"/>
      <w:r w:rsidDel="00000000" w:rsidR="00000000" w:rsidRPr="00000000">
        <w:rPr>
          <w:rtl w:val="0"/>
        </w:rPr>
        <w:t xml:space="preserve">Introduction</w:t>
      </w:r>
    </w:p>
    <w:p w:rsidR="00000000" w:rsidDel="00000000" w:rsidP="00000000" w:rsidRDefault="00000000" w:rsidRPr="00000000" w14:paraId="00000006">
      <w:pPr>
        <w:rPr/>
      </w:pPr>
      <w:r w:rsidDel="00000000" w:rsidR="00000000" w:rsidRPr="00000000">
        <w:rPr>
          <w:rtl w:val="0"/>
        </w:rPr>
        <w:t xml:space="preserve">‘Every ten years, the United Kingdom undertakes a census of the population, with the most recent one having been conducted in 2021. The purpose of such a census is to compare different people across the nation and to provide the government with accurate statistics of the population to enable better planning, to develop policies, and to allocate money for certain development projects.’</w:t>
      </w:r>
      <w:hyperlink r:id="rId6">
        <w:r w:rsidDel="00000000" w:rsidR="00000000" w:rsidRPr="00000000">
          <w:rPr>
            <w:b w:val="0"/>
            <w:color w:val="000000"/>
            <w:u w:val="none"/>
            <w:rtl w:val="0"/>
          </w:rPr>
          <w:t xml:space="preserve">(</w:t>
        </w:r>
      </w:hyperlink>
      <w:hyperlink r:id="rId7">
        <w:r w:rsidDel="00000000" w:rsidR="00000000" w:rsidRPr="00000000">
          <w:rPr>
            <w:b w:val="0"/>
            <w:i w:val="1"/>
            <w:color w:val="000000"/>
            <w:u w:val="none"/>
            <w:rtl w:val="0"/>
          </w:rPr>
          <w:t xml:space="preserve">Why we have a census</w:t>
        </w:r>
      </w:hyperlink>
      <w:hyperlink r:id="rId8">
        <w:r w:rsidDel="00000000" w:rsidR="00000000" w:rsidRPr="00000000">
          <w:rPr>
            <w:b w:val="0"/>
            <w:color w:val="000000"/>
            <w:u w:val="none"/>
            <w:rtl w:val="0"/>
          </w:rPr>
          <w:t xml:space="preserve">, no date)</w:t>
        </w:r>
      </w:hyperlink>
      <w:r w:rsidDel="00000000" w:rsidR="00000000" w:rsidRPr="00000000">
        <w:rPr>
          <w:rtl w:val="0"/>
        </w:rPr>
      </w:r>
    </w:p>
    <w:p w:rsidR="00000000" w:rsidDel="00000000" w:rsidP="00000000" w:rsidRDefault="00000000" w:rsidRPr="00000000" w14:paraId="00000007">
      <w:pPr>
        <w:pStyle w:val="Heading1"/>
        <w:rPr/>
      </w:pPr>
      <w:bookmarkStart w:colFirst="0" w:colLast="0" w:name="_y9otwtwgopbb" w:id="2"/>
      <w:bookmarkEnd w:id="2"/>
      <w:r w:rsidDel="00000000" w:rsidR="00000000" w:rsidRPr="00000000">
        <w:rPr>
          <w:rtl w:val="0"/>
        </w:rPr>
        <w:t xml:space="preserve">Data Preprocessing</w:t>
      </w:r>
    </w:p>
    <w:p w:rsidR="00000000" w:rsidDel="00000000" w:rsidP="00000000" w:rsidRDefault="00000000" w:rsidRPr="00000000" w14:paraId="00000008">
      <w:pPr>
        <w:rPr/>
      </w:pPr>
      <w:r w:rsidDel="00000000" w:rsidR="00000000" w:rsidRPr="00000000">
        <w:rPr>
          <w:rtl w:val="0"/>
        </w:rPr>
        <w:t xml:space="preserve">Glancing through the data, I realized that a combination of missing and NaN values were present so I converted missing values to NaN using the’ .replace()’ method to make the data easier to clean. Now, I can see the following</w:t>
        <w:br w:type="textWrapping"/>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Missing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1"/>
                <w:szCs w:val="21"/>
                <w:highlight w:val="white"/>
              </w:rPr>
            </w:pPr>
            <w:r w:rsidDel="00000000" w:rsidR="00000000" w:rsidRPr="00000000">
              <w:rPr>
                <w:sz w:val="21"/>
                <w:szCs w:val="21"/>
                <w:highlight w:val="white"/>
                <w:rtl w:val="0"/>
              </w:rPr>
              <w:t xml:space="preserve">First Name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1"/>
                <w:szCs w:val="21"/>
                <w:highlight w:val="white"/>
              </w:rPr>
            </w:pPr>
            <w:r w:rsidDel="00000000" w:rsidR="00000000" w:rsidRPr="00000000">
              <w:rPr>
                <w:sz w:val="21"/>
                <w:szCs w:val="21"/>
                <w:highlight w:val="white"/>
                <w:rtl w:val="0"/>
              </w:rPr>
              <w:t xml:space="preserve">Surname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1"/>
                <w:szCs w:val="21"/>
                <w:highlight w:val="white"/>
              </w:rPr>
            </w:pPr>
            <w:r w:rsidDel="00000000" w:rsidR="00000000" w:rsidRPr="00000000">
              <w:rPr>
                <w:sz w:val="21"/>
                <w:szCs w:val="21"/>
                <w:highlight w:val="white"/>
                <w:rtl w:val="0"/>
              </w:rPr>
              <w:t xml:space="preserve">Age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2(float numbers also present)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1"/>
                <w:szCs w:val="21"/>
                <w:highlight w:val="white"/>
              </w:rPr>
            </w:pPr>
            <w:r w:rsidDel="00000000" w:rsidR="00000000" w:rsidRPr="00000000">
              <w:rPr>
                <w:sz w:val="21"/>
                <w:szCs w:val="21"/>
                <w:highlight w:val="white"/>
                <w:rtl w:val="0"/>
              </w:rPr>
              <w:t xml:space="preserve">Marital Status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1"/>
                <w:szCs w:val="21"/>
                <w:highlight w:val="white"/>
              </w:rPr>
            </w:pPr>
            <w:r w:rsidDel="00000000" w:rsidR="00000000" w:rsidRPr="00000000">
              <w:rPr>
                <w:sz w:val="21"/>
                <w:szCs w:val="21"/>
                <w:highlight w:val="white"/>
                <w:rtl w:val="0"/>
              </w:rPr>
              <w:t xml:space="preserve">Infirmity</w:t>
            </w:r>
          </w:p>
          <w:p w:rsidR="00000000" w:rsidDel="00000000" w:rsidP="00000000" w:rsidRDefault="00000000" w:rsidRPr="00000000" w14:paraId="00000018">
            <w:pPr>
              <w:widowControl w:val="0"/>
              <w:spacing w:line="240" w:lineRule="auto"/>
              <w:rPr>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1"/>
                <w:szCs w:val="21"/>
                <w:highlight w:val="white"/>
              </w:rPr>
            </w:pPr>
            <w:r w:rsidDel="00000000" w:rsidR="00000000" w:rsidRPr="00000000">
              <w:rPr>
                <w:sz w:val="21"/>
                <w:szCs w:val="21"/>
                <w:highlight w:val="white"/>
                <w:rtl w:val="0"/>
              </w:rPr>
              <w:t xml:space="preserve">Religion</w:t>
            </w:r>
          </w:p>
          <w:p w:rsidR="00000000" w:rsidDel="00000000" w:rsidP="00000000" w:rsidRDefault="00000000" w:rsidRPr="00000000" w14:paraId="0000001B">
            <w:pPr>
              <w:widowControl w:val="0"/>
              <w:spacing w:line="240" w:lineRule="auto"/>
              <w:rPr>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2109</w:t>
            </w:r>
          </w:p>
        </w:tc>
      </w:tr>
    </w:tbl>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pStyle w:val="Heading2"/>
        <w:rPr/>
      </w:pPr>
      <w:bookmarkStart w:colFirst="0" w:colLast="0" w:name="_w3uymjdz8gs8" w:id="3"/>
      <w:bookmarkEnd w:id="3"/>
      <w:r w:rsidDel="00000000" w:rsidR="00000000" w:rsidRPr="00000000">
        <w:rPr>
          <w:rtl w:val="0"/>
        </w:rPr>
        <w:t xml:space="preserve">First Name</w:t>
      </w:r>
    </w:p>
    <w:p w:rsidR="00000000" w:rsidDel="00000000" w:rsidP="00000000" w:rsidRDefault="00000000" w:rsidRPr="00000000" w14:paraId="0000001F">
      <w:pPr>
        <w:rPr/>
      </w:pPr>
      <w:r w:rsidDel="00000000" w:rsidR="00000000" w:rsidRPr="00000000">
        <w:rPr>
          <w:rtl w:val="0"/>
        </w:rPr>
        <w:t xml:space="preserve">Only one record has a missing first name. Since it's only Mr Taylor with a missing first name, we could assign a random name to him. I assigned him the first name of ‘</w:t>
      </w:r>
      <w:r w:rsidDel="00000000" w:rsidR="00000000" w:rsidRPr="00000000">
        <w:rPr>
          <w:rtl w:val="0"/>
        </w:rPr>
        <w:t xml:space="preserve">Unknown</w:t>
      </w:r>
      <w:r w:rsidDel="00000000" w:rsidR="00000000" w:rsidRPr="00000000">
        <w:rPr>
          <w:rtl w:val="0"/>
        </w:rPr>
        <w:t xml:space="preserve">’. </w:t>
      </w:r>
    </w:p>
    <w:p w:rsidR="00000000" w:rsidDel="00000000" w:rsidP="00000000" w:rsidRDefault="00000000" w:rsidRPr="00000000" w14:paraId="00000020">
      <w:pPr>
        <w:pStyle w:val="Heading2"/>
        <w:rPr/>
      </w:pPr>
      <w:bookmarkStart w:colFirst="0" w:colLast="0" w:name="_47i4j99xr0op" w:id="4"/>
      <w:bookmarkEnd w:id="4"/>
      <w:r w:rsidDel="00000000" w:rsidR="00000000" w:rsidRPr="00000000">
        <w:rPr>
          <w:rtl w:val="0"/>
        </w:rPr>
        <w:t xml:space="preserve">Surname</w:t>
      </w:r>
    </w:p>
    <w:p w:rsidR="00000000" w:rsidDel="00000000" w:rsidP="00000000" w:rsidRDefault="00000000" w:rsidRPr="00000000" w14:paraId="00000021">
      <w:pPr>
        <w:rPr/>
      </w:pPr>
      <w:r w:rsidDel="00000000" w:rsidR="00000000" w:rsidRPr="00000000">
        <w:rPr>
          <w:rtl w:val="0"/>
        </w:rPr>
        <w:t xml:space="preserve">When I  check for null Surname values, only index 5553 has a missing surname. From closer investigation, it can be inferred that he is the son of Ms Joyce Adams and so I assigned him the surname of his family i.e. ‘Adams’.</w:t>
      </w:r>
    </w:p>
    <w:p w:rsidR="00000000" w:rsidDel="00000000" w:rsidP="00000000" w:rsidRDefault="00000000" w:rsidRPr="00000000" w14:paraId="00000022">
      <w:pPr>
        <w:pStyle w:val="Heading2"/>
        <w:rPr/>
      </w:pPr>
      <w:bookmarkStart w:colFirst="0" w:colLast="0" w:name="_9s4jhhwrre2f" w:id="5"/>
      <w:bookmarkEnd w:id="5"/>
      <w:r w:rsidDel="00000000" w:rsidR="00000000" w:rsidRPr="00000000">
        <w:rPr>
          <w:rtl w:val="0"/>
        </w:rPr>
        <w:t xml:space="preserve">Age</w:t>
      </w:r>
    </w:p>
    <w:p w:rsidR="00000000" w:rsidDel="00000000" w:rsidP="00000000" w:rsidRDefault="00000000" w:rsidRPr="00000000" w14:paraId="00000023">
      <w:pPr>
        <w:rPr/>
      </w:pPr>
      <w:r w:rsidDel="00000000" w:rsidR="00000000" w:rsidRPr="00000000">
        <w:rPr>
          <w:rtl w:val="0"/>
        </w:rPr>
        <w:t xml:space="preserve">Two records (2206 and 4317) have NaN Age values. </w:t>
      </w:r>
      <w:r w:rsidDel="00000000" w:rsidR="00000000" w:rsidRPr="00000000">
        <w:rPr>
          <w:sz w:val="21"/>
          <w:szCs w:val="21"/>
          <w:highlight w:val="white"/>
          <w:rtl w:val="0"/>
        </w:rPr>
        <w:t xml:space="preserve">We can say for Christopher Johnson, his age is 3 years older than his wife because according to </w:t>
      </w:r>
      <w:hyperlink r:id="rId9">
        <w:r w:rsidDel="00000000" w:rsidR="00000000" w:rsidRPr="00000000">
          <w:rPr>
            <w:b w:val="0"/>
            <w:color w:val="000000"/>
            <w:sz w:val="21"/>
            <w:szCs w:val="21"/>
            <w:highlight w:val="white"/>
            <w:u w:val="none"/>
            <w:rtl w:val="0"/>
          </w:rPr>
          <w:t xml:space="preserve">(Gitnux, 2023)</w:t>
        </w:r>
      </w:hyperlink>
      <w:r w:rsidDel="00000000" w:rsidR="00000000" w:rsidRPr="00000000">
        <w:rPr>
          <w:sz w:val="21"/>
          <w:szCs w:val="21"/>
          <w:highlight w:val="white"/>
          <w:rtl w:val="0"/>
        </w:rPr>
        <w:t xml:space="preserve">. The average age disparity between couples in the Uk is 3 years. For Hugh, I assigned him the average male university student age which is between 18-22 according to "</w:t>
      </w:r>
      <w:hyperlink r:id="rId10">
        <w:r w:rsidDel="00000000" w:rsidR="00000000" w:rsidRPr="00000000">
          <w:rPr>
            <w:b w:val="0"/>
            <w:color w:val="000000"/>
            <w:sz w:val="21"/>
            <w:szCs w:val="21"/>
            <w:highlight w:val="white"/>
            <w:u w:val="none"/>
            <w:rtl w:val="0"/>
          </w:rPr>
          <w:t xml:space="preserve">(</w:t>
        </w:r>
      </w:hyperlink>
      <w:hyperlink r:id="rId11">
        <w:r w:rsidDel="00000000" w:rsidR="00000000" w:rsidRPr="00000000">
          <w:rPr>
            <w:b w:val="0"/>
            <w:i w:val="1"/>
            <w:color w:val="000000"/>
            <w:sz w:val="21"/>
            <w:szCs w:val="21"/>
            <w:highlight w:val="white"/>
            <w:u w:val="none"/>
            <w:rtl w:val="0"/>
          </w:rPr>
          <w:t xml:space="preserve">News and insight</w:t>
        </w:r>
      </w:hyperlink>
      <w:hyperlink r:id="rId12">
        <w:r w:rsidDel="00000000" w:rsidR="00000000" w:rsidRPr="00000000">
          <w:rPr>
            <w:b w:val="0"/>
            <w:color w:val="000000"/>
            <w:sz w:val="21"/>
            <w:szCs w:val="21"/>
            <w:highlight w:val="white"/>
            <w:u w:val="none"/>
            <w:rtl w:val="0"/>
          </w:rPr>
          <w:t xml:space="preserve">, no date)</w:t>
        </w:r>
      </w:hyperlink>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Floating point numbers are also present in the Age feature. To change all age values to integers, I first converted the age values to floating points before converting them to integers by using astype('float') and astype('int') respectively. </w:t>
      </w:r>
    </w:p>
    <w:p w:rsidR="00000000" w:rsidDel="00000000" w:rsidP="00000000" w:rsidRDefault="00000000" w:rsidRPr="00000000" w14:paraId="00000025">
      <w:pPr>
        <w:pStyle w:val="Heading2"/>
        <w:rPr/>
      </w:pPr>
      <w:bookmarkStart w:colFirst="0" w:colLast="0" w:name="_ezn4id51dlcd" w:id="6"/>
      <w:bookmarkEnd w:id="6"/>
      <w:r w:rsidDel="00000000" w:rsidR="00000000" w:rsidRPr="00000000">
        <w:rPr>
          <w:rtl w:val="0"/>
        </w:rPr>
        <w:t xml:space="preserve">Marital Status</w:t>
      </w:r>
    </w:p>
    <w:p w:rsidR="00000000" w:rsidDel="00000000" w:rsidP="00000000" w:rsidRDefault="00000000" w:rsidRPr="00000000" w14:paraId="00000026">
      <w:pPr>
        <w:rPr/>
      </w:pPr>
      <w:r w:rsidDel="00000000" w:rsidR="00000000" w:rsidRPr="00000000">
        <w:rPr>
          <w:rtl w:val="0"/>
        </w:rPr>
        <w:t xml:space="preserve">According to the </w:t>
      </w:r>
      <w:hyperlink r:id="rId13">
        <w:r w:rsidDel="00000000" w:rsidR="00000000" w:rsidRPr="00000000">
          <w:rPr>
            <w:b w:val="0"/>
            <w:color w:val="000000"/>
            <w:u w:val="none"/>
            <w:rtl w:val="0"/>
          </w:rPr>
          <w:t xml:space="preserve">(Ministry of Justice, 2023)</w:t>
        </w:r>
      </w:hyperlink>
      <w:r w:rsidDel="00000000" w:rsidR="00000000" w:rsidRPr="00000000">
        <w:rPr>
          <w:rtl w:val="0"/>
        </w:rPr>
        <w:t xml:space="preserve">, in the UK children below the age of 18 can’t be legally married. It is a crime punishable by up to 7 years in prison. So the first thing I did was to check amongst the 2059 records with NaN marital status values to check if there were any individuals above 18. </w:t>
      </w:r>
    </w:p>
    <w:p w:rsidR="00000000" w:rsidDel="00000000" w:rsidP="00000000" w:rsidRDefault="00000000" w:rsidRPr="00000000" w14:paraId="00000027">
      <w:pPr>
        <w:rPr/>
      </w:pPr>
      <w:r w:rsidDel="00000000" w:rsidR="00000000" w:rsidRPr="00000000">
        <w:rPr>
          <w:rtl w:val="0"/>
        </w:rPr>
        <w:t xml:space="preserve">‘data[(data['Marital Status'].isna()) &amp; (data['Age'] &gt; 18)]’. I found out that just 3 records meet that criteria. For Mrs Hilton, upon closer investigation, I found out that she lives with her husband so I assigned her the marital status of married. The remaining two individuals that meet this criteria are university students, So I assumed that they’re single. Now that I've ensured that everyone with a marital status of NaN is below 18 and that is because they can't be legally married so I went ahead and assigned them a marital status of single.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bookmarkStart w:colFirst="0" w:colLast="0" w:name="_8fs44dglg3a9" w:id="7"/>
      <w:bookmarkEnd w:id="7"/>
      <w:r w:rsidDel="00000000" w:rsidR="00000000" w:rsidRPr="00000000">
        <w:rPr>
          <w:rtl w:val="0"/>
        </w:rPr>
        <w:t xml:space="preserve">Infirmity</w:t>
      </w:r>
    </w:p>
    <w:p w:rsidR="00000000" w:rsidDel="00000000" w:rsidP="00000000" w:rsidRDefault="00000000" w:rsidRPr="00000000" w14:paraId="0000002A">
      <w:pPr>
        <w:rPr/>
      </w:pPr>
      <w:r w:rsidDel="00000000" w:rsidR="00000000" w:rsidRPr="00000000">
        <w:rPr>
          <w:rtl w:val="0"/>
        </w:rPr>
        <w:t xml:space="preserve">For infirmity, only 8 records have NaN values. Since there are only 8 NaN values, I replaced them with  ‘unknown infection’.(The reason for this being that it’s better to wrongly classify them as having a disease and we later discover that they don’t have that ailment than the other way round).(Dr Asgari, 2023)</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9iz40b367559" w:id="8"/>
      <w:bookmarkEnd w:id="8"/>
      <w:r w:rsidDel="00000000" w:rsidR="00000000" w:rsidRPr="00000000">
        <w:rPr>
          <w:rtl w:val="0"/>
        </w:rPr>
        <w:t xml:space="preserve">Religion</w:t>
      </w:r>
    </w:p>
    <w:p w:rsidR="00000000" w:rsidDel="00000000" w:rsidP="00000000" w:rsidRDefault="00000000" w:rsidRPr="00000000" w14:paraId="0000002D">
      <w:pPr>
        <w:rPr/>
      </w:pPr>
      <w:r w:rsidDel="00000000" w:rsidR="00000000" w:rsidRPr="00000000">
        <w:rPr>
          <w:rtl w:val="0"/>
        </w:rPr>
        <w:t xml:space="preserve">There were 2109 NaN values present. The first step I took was to ascertain that all individuals with a NaN value for religion are below the age of 18. I am going under the assumption that children below 11 don’t have a religion. The remaining segment of the population that had NaN for Religion accounted for 10% of the population so I assigned them the mode value of Religion which is None. </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pPr>
      <w:bookmarkStart w:colFirst="0" w:colLast="0" w:name="_gy6mf8tlp6p3" w:id="9"/>
      <w:bookmarkEnd w:id="9"/>
      <w:r w:rsidDel="00000000" w:rsidR="00000000" w:rsidRPr="00000000">
        <w:rPr>
          <w:rtl w:val="0"/>
        </w:rPr>
        <w:t xml:space="preserve">Exploratory Data Analysis</w:t>
      </w:r>
    </w:p>
    <w:p w:rsidR="00000000" w:rsidDel="00000000" w:rsidP="00000000" w:rsidRDefault="00000000" w:rsidRPr="00000000" w14:paraId="00000032">
      <w:pPr>
        <w:rPr/>
      </w:pPr>
      <w:r w:rsidDel="00000000" w:rsidR="00000000" w:rsidRPr="00000000">
        <w:rPr>
          <w:rtl w:val="0"/>
        </w:rPr>
        <w:t xml:space="preserve">The total population of the given town is 8329. Out of that population, 4302 are female and 4027 </w:t>
      </w:r>
    </w:p>
    <w:p w:rsidR="00000000" w:rsidDel="00000000" w:rsidP="00000000" w:rsidRDefault="00000000" w:rsidRPr="00000000" w14:paraId="00000033">
      <w:pPr>
        <w:rPr/>
      </w:pPr>
      <w:r w:rsidDel="00000000" w:rsidR="00000000" w:rsidRPr="00000000">
        <w:rPr>
          <w:rtl w:val="0"/>
        </w:rPr>
        <w:t xml:space="preserve">are male.  </w:t>
      </w:r>
    </w:p>
    <w:p w:rsidR="00000000" w:rsidDel="00000000" w:rsidP="00000000" w:rsidRDefault="00000000" w:rsidRPr="00000000" w14:paraId="00000034">
      <w:pPr>
        <w:rPr/>
      </w:pPr>
      <w:r w:rsidDel="00000000" w:rsidR="00000000" w:rsidRPr="00000000">
        <w:rPr>
          <w:rtl w:val="0"/>
        </w:rPr>
        <w:t xml:space="preserve">For Age, the population has been grouped as follows:</w:t>
      </w:r>
    </w:p>
    <w:p w:rsidR="00000000" w:rsidDel="00000000" w:rsidP="00000000" w:rsidRDefault="00000000" w:rsidRPr="00000000" w14:paraId="00000035">
      <w:pPr>
        <w:numPr>
          <w:ilvl w:val="0"/>
          <w:numId w:val="2"/>
        </w:numPr>
        <w:ind w:left="720" w:hanging="360"/>
      </w:pPr>
      <w:r w:rsidDel="00000000" w:rsidR="00000000" w:rsidRPr="00000000">
        <w:rPr>
          <w:rtl w:val="0"/>
        </w:rPr>
        <w:t xml:space="preserve">‘The Silent Generation: &gt;77 years old</w:t>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Baby Boomers: 59-77 years old</w:t>
      </w:r>
    </w:p>
    <w:p w:rsidR="00000000" w:rsidDel="00000000" w:rsidP="00000000" w:rsidRDefault="00000000" w:rsidRPr="00000000" w14:paraId="00000037">
      <w:pPr>
        <w:numPr>
          <w:ilvl w:val="0"/>
          <w:numId w:val="2"/>
        </w:numPr>
        <w:ind w:left="720" w:hanging="360"/>
      </w:pPr>
      <w:r w:rsidDel="00000000" w:rsidR="00000000" w:rsidRPr="00000000">
        <w:rPr>
          <w:rtl w:val="0"/>
        </w:rPr>
        <w:t xml:space="preserve">Gen X: 43-58 years old</w:t>
      </w:r>
    </w:p>
    <w:p w:rsidR="00000000" w:rsidDel="00000000" w:rsidP="00000000" w:rsidRDefault="00000000" w:rsidRPr="00000000" w14:paraId="00000038">
      <w:pPr>
        <w:numPr>
          <w:ilvl w:val="0"/>
          <w:numId w:val="2"/>
        </w:numPr>
        <w:ind w:left="720" w:hanging="360"/>
      </w:pPr>
      <w:r w:rsidDel="00000000" w:rsidR="00000000" w:rsidRPr="00000000">
        <w:rPr>
          <w:rtl w:val="0"/>
        </w:rPr>
        <w:t xml:space="preserve">Millennials: 27-42 years old</w:t>
      </w:r>
    </w:p>
    <w:p w:rsidR="00000000" w:rsidDel="00000000" w:rsidP="00000000" w:rsidRDefault="00000000" w:rsidRPr="00000000" w14:paraId="00000039">
      <w:pPr>
        <w:numPr>
          <w:ilvl w:val="0"/>
          <w:numId w:val="2"/>
        </w:numPr>
        <w:ind w:left="720" w:hanging="360"/>
      </w:pPr>
      <w:r w:rsidDel="00000000" w:rsidR="00000000" w:rsidRPr="00000000">
        <w:rPr>
          <w:rtl w:val="0"/>
        </w:rPr>
        <w:t xml:space="preserve">Gen Z:  11-26 years old</w:t>
      </w:r>
    </w:p>
    <w:p w:rsidR="00000000" w:rsidDel="00000000" w:rsidP="00000000" w:rsidRDefault="00000000" w:rsidRPr="00000000" w14:paraId="0000003A">
      <w:pPr>
        <w:numPr>
          <w:ilvl w:val="0"/>
          <w:numId w:val="2"/>
        </w:numPr>
        <w:ind w:left="720" w:hanging="360"/>
      </w:pPr>
      <w:r w:rsidDel="00000000" w:rsidR="00000000" w:rsidRPr="00000000">
        <w:rPr>
          <w:rtl w:val="0"/>
        </w:rPr>
        <w:t xml:space="preserve">Gen Alpha: &lt;11 years old’</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rPr/>
      </w:pPr>
      <w:hyperlink r:id="rId14">
        <w:r w:rsidDel="00000000" w:rsidR="00000000" w:rsidRPr="00000000">
          <w:rPr>
            <w:b w:val="0"/>
            <w:color w:val="000000"/>
            <w:u w:val="none"/>
            <w:rtl w:val="0"/>
          </w:rPr>
          <w:t xml:space="preserve">(Debczak, 2019)</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4505325" cy="2400300"/>
            <wp:effectExtent b="0" l="0" r="0" t="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505325"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t xml:space="preserve">Fig 1: Proportion between male and female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drawing>
          <wp:inline distB="114300" distT="114300" distL="114300" distR="114300">
            <wp:extent cx="4143375" cy="3076575"/>
            <wp:effectExtent b="0" l="0" r="0" t="0"/>
            <wp:docPr id="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143375"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t xml:space="preserve">Fig 2: Population Pyramid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drawing>
          <wp:inline distB="114300" distT="114300" distL="114300" distR="114300">
            <wp:extent cx="3171825" cy="2238375"/>
            <wp:effectExtent b="0" l="0" r="0" t="0"/>
            <wp:docPr id="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17182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t xml:space="preserve">Fig 3: Age Group Proportion Across the Population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drawing>
          <wp:inline distB="114300" distT="114300" distL="114300" distR="114300">
            <wp:extent cx="3876675" cy="2638425"/>
            <wp:effectExtent b="0" l="0" r="0" t="0"/>
            <wp:docPr id="3"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87667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center"/>
        <w:rPr/>
      </w:pPr>
      <w:r w:rsidDel="00000000" w:rsidR="00000000" w:rsidRPr="00000000">
        <w:rPr>
          <w:rtl w:val="0"/>
        </w:rPr>
        <w:t xml:space="preserve">Fig 4: Age Group Count</w:t>
      </w:r>
    </w:p>
    <w:p w:rsidR="00000000" w:rsidDel="00000000" w:rsidP="00000000" w:rsidRDefault="00000000" w:rsidRPr="00000000" w14:paraId="00000052">
      <w:pPr>
        <w:jc w:val="center"/>
        <w:rPr/>
      </w:pPr>
      <w:r w:rsidDel="00000000" w:rsidR="00000000" w:rsidRPr="00000000">
        <w:rPr>
          <w:rtl w:val="0"/>
        </w:rPr>
      </w:r>
    </w:p>
    <w:p w:rsidR="00000000" w:rsidDel="00000000" w:rsidP="00000000" w:rsidRDefault="00000000" w:rsidRPr="00000000" w14:paraId="00000053">
      <w:pPr>
        <w:jc w:val="center"/>
        <w:rPr/>
      </w:pPr>
      <w:r w:rsidDel="00000000" w:rsidR="00000000" w:rsidRPr="00000000">
        <w:rPr/>
        <w:drawing>
          <wp:inline distB="114300" distT="114300" distL="114300" distR="114300">
            <wp:extent cx="3876675" cy="2638425"/>
            <wp:effectExtent b="0" l="0" r="0" t="0"/>
            <wp:docPr id="4"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387667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center"/>
        <w:rPr/>
      </w:pPr>
      <w:r w:rsidDel="00000000" w:rsidR="00000000" w:rsidRPr="00000000">
        <w:rPr>
          <w:rtl w:val="0"/>
        </w:rPr>
        <w:t xml:space="preserve">Fig 5: Marital Status Distribution Over the Population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jc w:val="center"/>
        <w:rPr>
          <w:b w:val="1"/>
        </w:rPr>
      </w:pPr>
      <w:r w:rsidDel="00000000" w:rsidR="00000000" w:rsidRPr="00000000">
        <w:rPr>
          <w:b w:val="1"/>
        </w:rPr>
        <w:drawing>
          <wp:inline distB="114300" distT="114300" distL="114300" distR="114300">
            <wp:extent cx="4048125" cy="2876550"/>
            <wp:effectExtent b="0" l="0" r="0" t="0"/>
            <wp:docPr id="1"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4048125"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center"/>
        <w:rPr/>
      </w:pPr>
      <w:r w:rsidDel="00000000" w:rsidR="00000000" w:rsidRPr="00000000">
        <w:rPr>
          <w:rtl w:val="0"/>
        </w:rPr>
        <w:t xml:space="preserve">Fig 6: Religion Distribution Over the Population</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jc w:val="center"/>
        <w:rPr>
          <w:b w:val="1"/>
        </w:rPr>
      </w:pPr>
      <w:r w:rsidDel="00000000" w:rsidR="00000000" w:rsidRPr="00000000">
        <w:rPr>
          <w:b w:val="1"/>
        </w:rPr>
        <w:drawing>
          <wp:inline distB="114300" distT="114300" distL="114300" distR="114300">
            <wp:extent cx="4286250" cy="3181350"/>
            <wp:effectExtent b="0" l="0" r="0" t="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4286250"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center"/>
        <w:rPr/>
      </w:pPr>
      <w:r w:rsidDel="00000000" w:rsidR="00000000" w:rsidRPr="00000000">
        <w:rPr>
          <w:rtl w:val="0"/>
        </w:rPr>
        <w:t xml:space="preserve">Fig 7: Employment Status By Gender</w:t>
      </w:r>
    </w:p>
    <w:p w:rsidR="00000000" w:rsidDel="00000000" w:rsidP="00000000" w:rsidRDefault="00000000" w:rsidRPr="00000000" w14:paraId="0000005C">
      <w:pPr>
        <w:jc w:val="cente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rPr/>
      </w:pPr>
      <w:bookmarkStart w:colFirst="0" w:colLast="0" w:name="_n74zu03xzmyc" w:id="10"/>
      <w:bookmarkEnd w:id="10"/>
      <w:r w:rsidDel="00000000" w:rsidR="00000000" w:rsidRPr="00000000">
        <w:rPr>
          <w:rtl w:val="0"/>
        </w:rPr>
        <w:t xml:space="preserve">Results</w:t>
      </w:r>
    </w:p>
    <w:p w:rsidR="00000000" w:rsidDel="00000000" w:rsidP="00000000" w:rsidRDefault="00000000" w:rsidRPr="00000000" w14:paraId="00000062">
      <w:pPr>
        <w:rPr/>
      </w:pPr>
      <w:r w:rsidDel="00000000" w:rsidR="00000000" w:rsidRPr="00000000">
        <w:rPr>
          <w:rtl w:val="0"/>
        </w:rPr>
        <w:t xml:space="preserve">The general population is made up of male and female genders and from fig 1 above, it is evident that there are slightly more females than males. </w:t>
      </w:r>
    </w:p>
    <w:p w:rsidR="00000000" w:rsidDel="00000000" w:rsidP="00000000" w:rsidRDefault="00000000" w:rsidRPr="00000000" w14:paraId="00000063">
      <w:pPr>
        <w:rPr/>
      </w:pPr>
      <w:r w:rsidDel="00000000" w:rsidR="00000000" w:rsidRPr="00000000">
        <w:rPr>
          <w:rtl w:val="0"/>
        </w:rPr>
        <w:t xml:space="preserve">From fig 2 it can be inferred that millennials(27-42 years old) make up the largest segment of the population by age group with 24.4%.</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rPr/>
      </w:pPr>
      <w:bookmarkStart w:colFirst="0" w:colLast="0" w:name="_byhr4k2h3rsy" w:id="11"/>
      <w:bookmarkEnd w:id="11"/>
      <w:r w:rsidDel="00000000" w:rsidR="00000000" w:rsidRPr="00000000">
        <w:rPr>
          <w:rtl w:val="0"/>
        </w:rPr>
        <w:t xml:space="preserve">Unemployment Rate</w:t>
      </w:r>
    </w:p>
    <w:p w:rsidR="00000000" w:rsidDel="00000000" w:rsidP="00000000" w:rsidRDefault="00000000" w:rsidRPr="00000000" w14:paraId="00000067">
      <w:pPr>
        <w:rPr/>
      </w:pPr>
      <w:r w:rsidDel="00000000" w:rsidR="00000000" w:rsidRPr="00000000">
        <w:rPr>
          <w:rtl w:val="0"/>
        </w:rPr>
        <w:t xml:space="preserve">By using the following formula:</w:t>
      </w:r>
    </w:p>
    <w:p w:rsidR="00000000" w:rsidDel="00000000" w:rsidP="00000000" w:rsidRDefault="00000000" w:rsidRPr="00000000" w14:paraId="00000068">
      <w:pPr>
        <w:rPr/>
      </w:pPr>
      <w:r w:rsidDel="00000000" w:rsidR="00000000" w:rsidRPr="00000000">
        <w:rPr>
          <w:rtl w:val="0"/>
        </w:rPr>
        <w:t xml:space="preserve">‘Unemployment Rate = Unemployed People / Labor Force * 100’</w:t>
      </w:r>
    </w:p>
    <w:p w:rsidR="00000000" w:rsidDel="00000000" w:rsidP="00000000" w:rsidRDefault="00000000" w:rsidRPr="00000000" w14:paraId="00000069">
      <w:pPr>
        <w:rPr/>
      </w:pPr>
      <w:r w:rsidDel="00000000" w:rsidR="00000000" w:rsidRPr="00000000">
        <w:rPr>
          <w:rtl w:val="0"/>
        </w:rPr>
        <w:t xml:space="preserve">The unemployment rate was determined to be</w:t>
      </w:r>
      <w:r w:rsidDel="00000000" w:rsidR="00000000" w:rsidRPr="00000000">
        <w:rPr>
          <w:b w:val="1"/>
          <w:rtl w:val="0"/>
        </w:rPr>
        <w:t xml:space="preserve"> 9.34%</w:t>
      </w:r>
      <w:r w:rsidDel="00000000" w:rsidR="00000000" w:rsidRPr="00000000">
        <w:rPr>
          <w:rtl w:val="0"/>
        </w:rPr>
        <w:t xml:space="preserve">. The labor force is a sum of both employed and unemployed individuals. </w:t>
      </w:r>
      <w:hyperlink r:id="rId22">
        <w:r w:rsidDel="00000000" w:rsidR="00000000" w:rsidRPr="00000000">
          <w:rPr>
            <w:b w:val="0"/>
            <w:color w:val="000000"/>
            <w:u w:val="none"/>
            <w:rtl w:val="0"/>
          </w:rPr>
          <w:t xml:space="preserve">(Katara, 2019)</w:t>
        </w:r>
      </w:hyperlink>
      <w:r w:rsidDel="00000000" w:rsidR="00000000" w:rsidRPr="00000000">
        <w:rPr>
          <w:rtl w:val="0"/>
        </w:rPr>
      </w:r>
    </w:p>
    <w:p w:rsidR="00000000" w:rsidDel="00000000" w:rsidP="00000000" w:rsidRDefault="00000000" w:rsidRPr="00000000" w14:paraId="0000006A">
      <w:pPr>
        <w:pStyle w:val="Heading2"/>
        <w:rPr/>
      </w:pPr>
      <w:bookmarkStart w:colFirst="0" w:colLast="0" w:name="_c7q27ip2qppk" w:id="12"/>
      <w:bookmarkEnd w:id="12"/>
      <w:r w:rsidDel="00000000" w:rsidR="00000000" w:rsidRPr="00000000">
        <w:rPr>
          <w:rtl w:val="0"/>
        </w:rPr>
        <w:t xml:space="preserve">Child Birth Rate</w:t>
      </w:r>
    </w:p>
    <w:p w:rsidR="00000000" w:rsidDel="00000000" w:rsidP="00000000" w:rsidRDefault="00000000" w:rsidRPr="00000000" w14:paraId="0000006B">
      <w:pPr>
        <w:rPr/>
      </w:pPr>
      <w:r w:rsidDel="00000000" w:rsidR="00000000" w:rsidRPr="00000000">
        <w:rPr>
          <w:rtl w:val="0"/>
        </w:rPr>
        <w:t xml:space="preserve">Child Birth Rate was calculated using the following formula:</w:t>
      </w:r>
    </w:p>
    <w:p w:rsidR="00000000" w:rsidDel="00000000" w:rsidP="00000000" w:rsidRDefault="00000000" w:rsidRPr="00000000" w14:paraId="0000006C">
      <w:pPr>
        <w:rPr/>
      </w:pPr>
      <w:r w:rsidDel="00000000" w:rsidR="00000000" w:rsidRPr="00000000">
        <w:rPr>
          <w:rtl w:val="0"/>
        </w:rPr>
        <w:t xml:space="preserve">CBR = (Amount of children/Amount of women of Child bearing age)*100000</w:t>
      </w:r>
    </w:p>
    <w:p w:rsidR="00000000" w:rsidDel="00000000" w:rsidP="00000000" w:rsidRDefault="00000000" w:rsidRPr="00000000" w14:paraId="0000006D">
      <w:pPr>
        <w:rPr/>
      </w:pPr>
      <w:r w:rsidDel="00000000" w:rsidR="00000000" w:rsidRPr="00000000">
        <w:rPr>
          <w:rtl w:val="0"/>
        </w:rPr>
        <w:t xml:space="preserve">Analyzing over a 10 year period, the child birth rate increased by a rate of </w:t>
      </w:r>
      <w:r w:rsidDel="00000000" w:rsidR="00000000" w:rsidRPr="00000000">
        <w:rPr>
          <w:b w:val="1"/>
          <w:rtl w:val="0"/>
        </w:rPr>
        <w:t xml:space="preserve">3053 </w:t>
      </w:r>
      <w:r w:rsidDel="00000000" w:rsidR="00000000" w:rsidRPr="00000000">
        <w:rPr>
          <w:rtl w:val="0"/>
        </w:rPr>
        <w:t xml:space="preserve">births </w:t>
      </w:r>
      <w:r w:rsidDel="00000000" w:rsidR="00000000" w:rsidRPr="00000000">
        <w:rPr>
          <w:b w:val="1"/>
          <w:rtl w:val="0"/>
        </w:rPr>
        <w:t xml:space="preserve">per</w:t>
      </w:r>
      <w:r w:rsidDel="00000000" w:rsidR="00000000" w:rsidRPr="00000000">
        <w:rPr>
          <w:rtl w:val="0"/>
        </w:rPr>
        <w:t xml:space="preserve"> </w:t>
      </w:r>
      <w:r w:rsidDel="00000000" w:rsidR="00000000" w:rsidRPr="00000000">
        <w:rPr>
          <w:b w:val="1"/>
          <w:rtl w:val="0"/>
        </w:rPr>
        <w:t xml:space="preserve">100,000</w:t>
      </w: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rPr/>
      </w:pPr>
      <w:bookmarkStart w:colFirst="0" w:colLast="0" w:name="_me7t8scey9ou" w:id="13"/>
      <w:bookmarkEnd w:id="13"/>
      <w:r w:rsidDel="00000000" w:rsidR="00000000" w:rsidRPr="00000000">
        <w:rPr>
          <w:rtl w:val="0"/>
        </w:rPr>
        <w:t xml:space="preserve">Death Rate</w:t>
      </w:r>
    </w:p>
    <w:p w:rsidR="00000000" w:rsidDel="00000000" w:rsidP="00000000" w:rsidRDefault="00000000" w:rsidRPr="00000000" w14:paraId="00000070">
      <w:pPr>
        <w:rPr/>
      </w:pPr>
      <w:r w:rsidDel="00000000" w:rsidR="00000000" w:rsidRPr="00000000">
        <w:rPr>
          <w:rtl w:val="0"/>
        </w:rPr>
        <w:t xml:space="preserve">The death rate over a 5 year period was gotten by using the following formula:</w:t>
      </w:r>
    </w:p>
    <w:p w:rsidR="00000000" w:rsidDel="00000000" w:rsidP="00000000" w:rsidRDefault="00000000" w:rsidRPr="00000000" w14:paraId="00000071">
      <w:pPr>
        <w:rPr/>
      </w:pPr>
      <w:r w:rsidDel="00000000" w:rsidR="00000000" w:rsidRPr="00000000">
        <w:rPr>
          <w:rtl w:val="0"/>
        </w:rPr>
        <w:t xml:space="preserve">DR = (Difference in old population size/5)/100000.</w:t>
      </w:r>
    </w:p>
    <w:p w:rsidR="00000000" w:rsidDel="00000000" w:rsidP="00000000" w:rsidRDefault="00000000" w:rsidRPr="00000000" w14:paraId="00000072">
      <w:pPr>
        <w:rPr>
          <w:sz w:val="21"/>
          <w:szCs w:val="21"/>
          <w:highlight w:val="white"/>
        </w:rPr>
      </w:pPr>
      <w:r w:rsidDel="00000000" w:rsidR="00000000" w:rsidRPr="00000000">
        <w:rPr>
          <w:rtl w:val="0"/>
        </w:rPr>
        <w:t xml:space="preserve">This gave a death rate of </w:t>
      </w:r>
      <w:r w:rsidDel="00000000" w:rsidR="00000000" w:rsidRPr="00000000">
        <w:rPr>
          <w:b w:val="1"/>
          <w:sz w:val="21"/>
          <w:szCs w:val="21"/>
          <w:highlight w:val="white"/>
          <w:rtl w:val="0"/>
        </w:rPr>
        <w:t xml:space="preserve">0.000154 per 100000 per year</w:t>
      </w:r>
      <w:r w:rsidDel="00000000" w:rsidR="00000000" w:rsidRPr="00000000">
        <w:rPr>
          <w:sz w:val="21"/>
          <w:szCs w:val="21"/>
          <w:highlight w:val="white"/>
          <w:rtl w:val="0"/>
        </w:rPr>
        <w:t xml:space="preserve"> over a 5 year period.</w:t>
      </w:r>
    </w:p>
    <w:p w:rsidR="00000000" w:rsidDel="00000000" w:rsidP="00000000" w:rsidRDefault="00000000" w:rsidRPr="00000000" w14:paraId="00000073">
      <w:pPr>
        <w:rPr>
          <w:sz w:val="21"/>
          <w:szCs w:val="21"/>
          <w:highlight w:val="white"/>
        </w:rPr>
      </w:pPr>
      <w:r w:rsidDel="00000000" w:rsidR="00000000" w:rsidRPr="00000000">
        <w:rPr>
          <w:rtl w:val="0"/>
        </w:rPr>
      </w:r>
    </w:p>
    <w:p w:rsidR="00000000" w:rsidDel="00000000" w:rsidP="00000000" w:rsidRDefault="00000000" w:rsidRPr="00000000" w14:paraId="00000074">
      <w:pPr>
        <w:rPr>
          <w:sz w:val="21"/>
          <w:szCs w:val="21"/>
          <w:highlight w:val="white"/>
        </w:rPr>
      </w:pPr>
      <w:r w:rsidDel="00000000" w:rsidR="00000000" w:rsidRPr="00000000">
        <w:rPr>
          <w:rtl w:val="0"/>
        </w:rPr>
      </w:r>
    </w:p>
    <w:p w:rsidR="00000000" w:rsidDel="00000000" w:rsidP="00000000" w:rsidRDefault="00000000" w:rsidRPr="00000000" w14:paraId="00000075">
      <w:pPr>
        <w:pStyle w:val="Heading2"/>
        <w:rPr/>
      </w:pPr>
      <w:bookmarkStart w:colFirst="0" w:colLast="0" w:name="_pbtuwzt9suy8" w:id="14"/>
      <w:bookmarkEnd w:id="14"/>
      <w:r w:rsidDel="00000000" w:rsidR="00000000" w:rsidRPr="00000000">
        <w:rPr>
          <w:rtl w:val="0"/>
        </w:rPr>
        <w:t xml:space="preserve">Commuters</w:t>
      </w:r>
    </w:p>
    <w:p w:rsidR="00000000" w:rsidDel="00000000" w:rsidP="00000000" w:rsidRDefault="00000000" w:rsidRPr="00000000" w14:paraId="00000076">
      <w:pPr>
        <w:rPr/>
      </w:pPr>
      <w:r w:rsidDel="00000000" w:rsidR="00000000" w:rsidRPr="00000000">
        <w:rPr>
          <w:rtl w:val="0"/>
        </w:rPr>
        <w:t xml:space="preserve">Students and employed individuals make up the majority of daily commuters. Commuters make up for </w:t>
      </w:r>
      <w:r w:rsidDel="00000000" w:rsidR="00000000" w:rsidRPr="00000000">
        <w:rPr>
          <w:b w:val="1"/>
          <w:rtl w:val="0"/>
        </w:rPr>
        <w:t xml:space="preserve">79.8%</w:t>
      </w:r>
      <w:r w:rsidDel="00000000" w:rsidR="00000000" w:rsidRPr="00000000">
        <w:rPr>
          <w:rtl w:val="0"/>
        </w:rPr>
        <w:t xml:space="preserve"> of the population.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rPr/>
      </w:pPr>
      <w:bookmarkStart w:colFirst="0" w:colLast="0" w:name="_nsnb20l3x0d8" w:id="15"/>
      <w:bookmarkEnd w:id="15"/>
      <w:r w:rsidDel="00000000" w:rsidR="00000000" w:rsidRPr="00000000">
        <w:rPr>
          <w:rtl w:val="0"/>
        </w:rPr>
        <w:t xml:space="preserve">Housing Occupancy</w:t>
      </w:r>
    </w:p>
    <w:p w:rsidR="00000000" w:rsidDel="00000000" w:rsidP="00000000" w:rsidRDefault="00000000" w:rsidRPr="00000000" w14:paraId="00000079">
      <w:pPr>
        <w:rPr/>
      </w:pPr>
      <w:r w:rsidDel="00000000" w:rsidR="00000000" w:rsidRPr="00000000">
        <w:rPr>
          <w:rtl w:val="0"/>
        </w:rPr>
        <w:t xml:space="preserve">The formula used to derive the amount of occupants per house is shown below:</w:t>
      </w:r>
    </w:p>
    <w:p w:rsidR="00000000" w:rsidDel="00000000" w:rsidP="00000000" w:rsidRDefault="00000000" w:rsidRPr="00000000" w14:paraId="0000007A">
      <w:pPr>
        <w:rPr/>
      </w:pPr>
      <w:r w:rsidDel="00000000" w:rsidR="00000000" w:rsidRPr="00000000">
        <w:rPr>
          <w:rtl w:val="0"/>
        </w:rPr>
        <w:t xml:space="preserve">Amount of occupants = Total population/ Amount of unique households</w:t>
      </w:r>
    </w:p>
    <w:p w:rsidR="00000000" w:rsidDel="00000000" w:rsidP="00000000" w:rsidRDefault="00000000" w:rsidRPr="00000000" w14:paraId="0000007B">
      <w:pPr>
        <w:rPr/>
      </w:pPr>
      <w:r w:rsidDel="00000000" w:rsidR="00000000" w:rsidRPr="00000000">
        <w:rPr>
          <w:rtl w:val="0"/>
        </w:rPr>
        <w:t xml:space="preserve">This gives an average of </w:t>
      </w:r>
      <w:r w:rsidDel="00000000" w:rsidR="00000000" w:rsidRPr="00000000">
        <w:rPr>
          <w:b w:val="1"/>
          <w:rtl w:val="0"/>
        </w:rPr>
        <w:t xml:space="preserve">3 </w:t>
      </w:r>
      <w:r w:rsidDel="00000000" w:rsidR="00000000" w:rsidRPr="00000000">
        <w:rPr>
          <w:rtl w:val="0"/>
        </w:rPr>
        <w:t xml:space="preserve">individuals per household. The maximum number of people in a single household is 22 and for this we can assume that the Stevenson family are a wealthy family that live in a big house and lease out some rooms because most of the occupants are members of the Stevenson family. For Toucan Divide we can assume it’s a hotel because most of its occupants are lodgers.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rPr/>
      </w:pPr>
      <w:bookmarkStart w:colFirst="0" w:colLast="0" w:name="_dtdbfel6ntbm" w:id="16"/>
      <w:bookmarkEnd w:id="16"/>
      <w:r w:rsidDel="00000000" w:rsidR="00000000" w:rsidRPr="00000000">
        <w:rPr>
          <w:rtl w:val="0"/>
        </w:rPr>
        <w:t xml:space="preserve">Conclusion </w:t>
      </w:r>
    </w:p>
    <w:p w:rsidR="00000000" w:rsidDel="00000000" w:rsidP="00000000" w:rsidRDefault="00000000" w:rsidRPr="00000000" w14:paraId="0000007F">
      <w:pPr>
        <w:rPr/>
      </w:pPr>
      <w:r w:rsidDel="00000000" w:rsidR="00000000" w:rsidRPr="00000000">
        <w:rPr>
          <w:rtl w:val="0"/>
        </w:rPr>
        <w:t xml:space="preserve">From the insights gathered I used them to make informed decisions in answering the two questions below: </w:t>
      </w:r>
    </w:p>
    <w:p w:rsidR="00000000" w:rsidDel="00000000" w:rsidP="00000000" w:rsidRDefault="00000000" w:rsidRPr="00000000" w14:paraId="00000080">
      <w:pPr>
        <w:numPr>
          <w:ilvl w:val="0"/>
          <w:numId w:val="1"/>
        </w:numPr>
        <w:ind w:left="720" w:hanging="360"/>
        <w:rPr>
          <w:u w:val="none"/>
        </w:rPr>
      </w:pPr>
      <w:r w:rsidDel="00000000" w:rsidR="00000000" w:rsidRPr="00000000">
        <w:rPr>
          <w:rtl w:val="0"/>
        </w:rPr>
        <w:t xml:space="preserve">What should be built on an unoccupied plot of land that the local government wishes to develop?</w:t>
      </w:r>
    </w:p>
    <w:p w:rsidR="00000000" w:rsidDel="00000000" w:rsidP="00000000" w:rsidRDefault="00000000" w:rsidRPr="00000000" w14:paraId="00000081">
      <w:pPr>
        <w:numPr>
          <w:ilvl w:val="0"/>
          <w:numId w:val="1"/>
        </w:numPr>
        <w:ind w:left="720" w:hanging="360"/>
        <w:rPr>
          <w:u w:val="none"/>
        </w:rPr>
      </w:pPr>
      <w:r w:rsidDel="00000000" w:rsidR="00000000" w:rsidRPr="00000000">
        <w:rPr>
          <w:rtl w:val="0"/>
        </w:rPr>
        <w:t xml:space="preserve">Which one of the following options should be invested in?</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I believe the local government should build a train station on an unoccupied piece of land because commuters make up for 79.8% of the population and that’s quite high. Building a train station would make transportation easier for students and  workers who potentially need to drive to nearby major cities for work and school. Building a train station has two foreseeable benefits that I can identify, the first being taking pressure off the roads and the second is that the train station would make it easier to trade(i.e. easier transportation of bulky goods such as oil, consumer goods etc). What the second option does is that it reduces the need for lorries. </w:t>
      </w:r>
      <w:hyperlink r:id="rId23">
        <w:r w:rsidDel="00000000" w:rsidR="00000000" w:rsidRPr="00000000">
          <w:rPr>
            <w:b w:val="0"/>
            <w:color w:val="000000"/>
            <w:u w:val="none"/>
            <w:rtl w:val="0"/>
          </w:rPr>
          <w:t xml:space="preserve">(‘What Can You Ship by Rail?’, 2018)</w:t>
        </w:r>
      </w:hyperlink>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For b, there are two possible answers, either the local government invests in old age care or they invest in schooling. However I believe the local government should invest in schooling because the population of Gen alpha and Gen Z account for 38.1 % compared to older people who would need end of life care and they account for 15.7% of the population. Also taking a look at the increase in birth rates which suggests that there will be an increase in population going by current trends.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rPr/>
      </w:pPr>
      <w:bookmarkStart w:colFirst="0" w:colLast="0" w:name="_kxpyntl4ip21" w:id="17"/>
      <w:bookmarkEnd w:id="17"/>
      <w:r w:rsidDel="00000000" w:rsidR="00000000" w:rsidRPr="00000000">
        <w:rPr>
          <w:rtl w:val="0"/>
        </w:rPr>
      </w:r>
    </w:p>
    <w:p w:rsidR="00000000" w:rsidDel="00000000" w:rsidP="00000000" w:rsidRDefault="00000000" w:rsidRPr="00000000" w14:paraId="00000089">
      <w:pPr>
        <w:pStyle w:val="Heading1"/>
        <w:rPr/>
      </w:pPr>
      <w:bookmarkStart w:colFirst="0" w:colLast="0" w:name="_407n1pse9iw2" w:id="18"/>
      <w:bookmarkEnd w:id="18"/>
      <w:r w:rsidDel="00000000" w:rsidR="00000000" w:rsidRPr="00000000">
        <w:rPr>
          <w:rtl w:val="0"/>
        </w:rPr>
      </w:r>
    </w:p>
    <w:p w:rsidR="00000000" w:rsidDel="00000000" w:rsidP="00000000" w:rsidRDefault="00000000" w:rsidRPr="00000000" w14:paraId="0000008A">
      <w:pPr>
        <w:pStyle w:val="Heading1"/>
        <w:rPr/>
      </w:pPr>
      <w:bookmarkStart w:colFirst="0" w:colLast="0" w:name="_v96djovwdurw" w:id="19"/>
      <w:bookmarkEnd w:id="19"/>
      <w:r w:rsidDel="00000000" w:rsidR="00000000" w:rsidRPr="00000000">
        <w:rPr>
          <w:rtl w:val="0"/>
        </w:rPr>
      </w:r>
    </w:p>
    <w:p w:rsidR="00000000" w:rsidDel="00000000" w:rsidP="00000000" w:rsidRDefault="00000000" w:rsidRPr="00000000" w14:paraId="0000008B">
      <w:pPr>
        <w:pStyle w:val="Heading1"/>
        <w:rPr/>
      </w:pPr>
      <w:bookmarkStart w:colFirst="0" w:colLast="0" w:name="_6wciyz7sjeq" w:id="20"/>
      <w:bookmarkEnd w:id="20"/>
      <w:r w:rsidDel="00000000" w:rsidR="00000000" w:rsidRPr="00000000">
        <w:rPr>
          <w:rtl w:val="0"/>
        </w:rPr>
        <w:t xml:space="preserve">References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0" w:right="0" w:firstLine="0"/>
        <w:jc w:val="left"/>
        <w:rPr>
          <w:b w:val="0"/>
          <w:i w:val="0"/>
          <w:color w:val="000000"/>
          <w:sz w:val="22"/>
          <w:szCs w:val="22"/>
        </w:rPr>
      </w:pPr>
      <w:hyperlink r:id="rId24">
        <w:r w:rsidDel="00000000" w:rsidR="00000000" w:rsidRPr="00000000">
          <w:rPr>
            <w:b w:val="0"/>
            <w:i w:val="0"/>
            <w:color w:val="000000"/>
            <w:sz w:val="22"/>
            <w:szCs w:val="22"/>
            <w:u w:val="none"/>
            <w:rtl w:val="0"/>
          </w:rPr>
          <w:t xml:space="preserve">Debczak, M. (2019) </w:t>
        </w:r>
      </w:hyperlink>
      <w:hyperlink r:id="rId25">
        <w:r w:rsidDel="00000000" w:rsidR="00000000" w:rsidRPr="00000000">
          <w:rPr>
            <w:b w:val="0"/>
            <w:i w:val="1"/>
            <w:color w:val="000000"/>
            <w:sz w:val="22"/>
            <w:szCs w:val="22"/>
            <w:u w:val="none"/>
            <w:rtl w:val="0"/>
          </w:rPr>
          <w:t xml:space="preserve">Here Are the Age Ranges for Millennials, Gen Z, and Gen Alpha</w:t>
        </w:r>
      </w:hyperlink>
      <w:hyperlink r:id="rId26">
        <w:r w:rsidDel="00000000" w:rsidR="00000000" w:rsidRPr="00000000">
          <w:rPr>
            <w:b w:val="0"/>
            <w:i w:val="0"/>
            <w:color w:val="000000"/>
            <w:sz w:val="22"/>
            <w:szCs w:val="22"/>
            <w:u w:val="none"/>
            <w:rtl w:val="0"/>
          </w:rPr>
          <w:t xml:space="preserve">, </w:t>
        </w:r>
      </w:hyperlink>
      <w:hyperlink r:id="rId27">
        <w:r w:rsidDel="00000000" w:rsidR="00000000" w:rsidRPr="00000000">
          <w:rPr>
            <w:b w:val="0"/>
            <w:i w:val="1"/>
            <w:color w:val="000000"/>
            <w:sz w:val="22"/>
            <w:szCs w:val="22"/>
            <w:u w:val="none"/>
            <w:rtl w:val="0"/>
          </w:rPr>
          <w:t xml:space="preserve">Mental Floss</w:t>
        </w:r>
      </w:hyperlink>
      <w:hyperlink r:id="rId28">
        <w:r w:rsidDel="00000000" w:rsidR="00000000" w:rsidRPr="00000000">
          <w:rPr>
            <w:b w:val="0"/>
            <w:i w:val="0"/>
            <w:color w:val="000000"/>
            <w:sz w:val="22"/>
            <w:szCs w:val="22"/>
            <w:u w:val="none"/>
            <w:rtl w:val="0"/>
          </w:rPr>
          <w:t xml:space="preserve">. Available at: </w:t>
        </w:r>
      </w:hyperlink>
      <w:hyperlink r:id="rId29">
        <w:r w:rsidDel="00000000" w:rsidR="00000000" w:rsidRPr="00000000">
          <w:rPr>
            <w:b w:val="0"/>
            <w:i w:val="0"/>
            <w:color w:val="000000"/>
            <w:sz w:val="22"/>
            <w:szCs w:val="22"/>
            <w:u w:val="none"/>
            <w:rtl w:val="0"/>
          </w:rPr>
          <w:t xml:space="preserve">https://www.mentalfloss.com/article/609811/age-ranges-millennials-and-generation-z</w:t>
        </w:r>
      </w:hyperlink>
      <w:hyperlink r:id="rId30">
        <w:r w:rsidDel="00000000" w:rsidR="00000000" w:rsidRPr="00000000">
          <w:rPr>
            <w:b w:val="0"/>
            <w:i w:val="0"/>
            <w:color w:val="000000"/>
            <w:sz w:val="22"/>
            <w:szCs w:val="22"/>
            <w:u w:val="none"/>
            <w:rtl w:val="0"/>
          </w:rPr>
          <w:t xml:space="preserve"> (Accessed: 27 April 2023).</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rPr>
      </w:pPr>
      <w:hyperlink r:id="rId31">
        <w:r w:rsidDel="00000000" w:rsidR="00000000" w:rsidRPr="00000000">
          <w:rPr>
            <w:b w:val="0"/>
            <w:i w:val="0"/>
            <w:color w:val="000000"/>
            <w:sz w:val="22"/>
            <w:szCs w:val="22"/>
            <w:u w:val="none"/>
            <w:rtl w:val="0"/>
          </w:rPr>
          <w:t xml:space="preserve">Gitnux (2023) </w:t>
        </w:r>
      </w:hyperlink>
      <w:hyperlink r:id="rId32">
        <w:r w:rsidDel="00000000" w:rsidR="00000000" w:rsidRPr="00000000">
          <w:rPr>
            <w:b w:val="0"/>
            <w:i w:val="1"/>
            <w:color w:val="000000"/>
            <w:sz w:val="22"/>
            <w:szCs w:val="22"/>
            <w:u w:val="none"/>
            <w:rtl w:val="0"/>
          </w:rPr>
          <w:t xml:space="preserve">The Most Surprising Age Difference Between Couples Statistics And Trends in 2023</w:t>
        </w:r>
      </w:hyperlink>
      <w:hyperlink r:id="rId33">
        <w:r w:rsidDel="00000000" w:rsidR="00000000" w:rsidRPr="00000000">
          <w:rPr>
            <w:b w:val="0"/>
            <w:i w:val="0"/>
            <w:color w:val="000000"/>
            <w:sz w:val="22"/>
            <w:szCs w:val="22"/>
            <w:u w:val="none"/>
            <w:rtl w:val="0"/>
          </w:rPr>
          <w:t xml:space="preserve">, </w:t>
        </w:r>
      </w:hyperlink>
      <w:hyperlink r:id="rId34">
        <w:r w:rsidDel="00000000" w:rsidR="00000000" w:rsidRPr="00000000">
          <w:rPr>
            <w:b w:val="0"/>
            <w:i w:val="1"/>
            <w:color w:val="000000"/>
            <w:sz w:val="22"/>
            <w:szCs w:val="22"/>
            <w:u w:val="none"/>
            <w:rtl w:val="0"/>
          </w:rPr>
          <w:t xml:space="preserve">GITNUX</w:t>
        </w:r>
      </w:hyperlink>
      <w:hyperlink r:id="rId35">
        <w:r w:rsidDel="00000000" w:rsidR="00000000" w:rsidRPr="00000000">
          <w:rPr>
            <w:b w:val="0"/>
            <w:i w:val="0"/>
            <w:color w:val="000000"/>
            <w:sz w:val="22"/>
            <w:szCs w:val="22"/>
            <w:u w:val="none"/>
            <w:rtl w:val="0"/>
          </w:rPr>
          <w:t xml:space="preserve">. Available at: </w:t>
        </w:r>
      </w:hyperlink>
      <w:hyperlink r:id="rId36">
        <w:r w:rsidDel="00000000" w:rsidR="00000000" w:rsidRPr="00000000">
          <w:rPr>
            <w:b w:val="0"/>
            <w:i w:val="0"/>
            <w:color w:val="000000"/>
            <w:sz w:val="22"/>
            <w:szCs w:val="22"/>
            <w:u w:val="none"/>
            <w:rtl w:val="0"/>
          </w:rPr>
          <w:t xml:space="preserve">https://blog.gitnux.com/age-difference-between-couples-statistics/</w:t>
        </w:r>
      </w:hyperlink>
      <w:hyperlink r:id="rId37">
        <w:r w:rsidDel="00000000" w:rsidR="00000000" w:rsidRPr="00000000">
          <w:rPr>
            <w:b w:val="0"/>
            <w:i w:val="0"/>
            <w:color w:val="000000"/>
            <w:sz w:val="22"/>
            <w:szCs w:val="22"/>
            <w:u w:val="none"/>
            <w:rtl w:val="0"/>
          </w:rPr>
          <w:t xml:space="preserve"> (Accessed: 27 April 2023).</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rPr>
      </w:pPr>
      <w:hyperlink r:id="rId38">
        <w:r w:rsidDel="00000000" w:rsidR="00000000" w:rsidRPr="00000000">
          <w:rPr>
            <w:b w:val="0"/>
            <w:i w:val="0"/>
            <w:color w:val="000000"/>
            <w:sz w:val="22"/>
            <w:szCs w:val="22"/>
            <w:u w:val="none"/>
            <w:rtl w:val="0"/>
          </w:rPr>
          <w:t xml:space="preserve">Katara, H. (2019) </w:t>
        </w:r>
      </w:hyperlink>
      <w:hyperlink r:id="rId39">
        <w:r w:rsidDel="00000000" w:rsidR="00000000" w:rsidRPr="00000000">
          <w:rPr>
            <w:b w:val="0"/>
            <w:i w:val="1"/>
            <w:color w:val="000000"/>
            <w:sz w:val="22"/>
            <w:szCs w:val="22"/>
            <w:u w:val="none"/>
            <w:rtl w:val="0"/>
          </w:rPr>
          <w:t xml:space="preserve">Unemployment Rate Formula</w:t>
        </w:r>
      </w:hyperlink>
      <w:hyperlink r:id="rId40">
        <w:r w:rsidDel="00000000" w:rsidR="00000000" w:rsidRPr="00000000">
          <w:rPr>
            <w:b w:val="0"/>
            <w:i w:val="0"/>
            <w:color w:val="000000"/>
            <w:sz w:val="22"/>
            <w:szCs w:val="22"/>
            <w:u w:val="none"/>
            <w:rtl w:val="0"/>
          </w:rPr>
          <w:t xml:space="preserve">, </w:t>
        </w:r>
      </w:hyperlink>
      <w:hyperlink r:id="rId41">
        <w:r w:rsidDel="00000000" w:rsidR="00000000" w:rsidRPr="00000000">
          <w:rPr>
            <w:b w:val="0"/>
            <w:i w:val="1"/>
            <w:color w:val="000000"/>
            <w:sz w:val="22"/>
            <w:szCs w:val="22"/>
            <w:u w:val="none"/>
            <w:rtl w:val="0"/>
          </w:rPr>
          <w:t xml:space="preserve">WallStreetMojo</w:t>
        </w:r>
      </w:hyperlink>
      <w:hyperlink r:id="rId42">
        <w:r w:rsidDel="00000000" w:rsidR="00000000" w:rsidRPr="00000000">
          <w:rPr>
            <w:b w:val="0"/>
            <w:i w:val="0"/>
            <w:color w:val="000000"/>
            <w:sz w:val="22"/>
            <w:szCs w:val="22"/>
            <w:u w:val="none"/>
            <w:rtl w:val="0"/>
          </w:rPr>
          <w:t xml:space="preserve">. Available at: </w:t>
        </w:r>
      </w:hyperlink>
      <w:hyperlink r:id="rId43">
        <w:r w:rsidDel="00000000" w:rsidR="00000000" w:rsidRPr="00000000">
          <w:rPr>
            <w:b w:val="0"/>
            <w:i w:val="0"/>
            <w:color w:val="000000"/>
            <w:sz w:val="22"/>
            <w:szCs w:val="22"/>
            <w:u w:val="none"/>
            <w:rtl w:val="0"/>
          </w:rPr>
          <w:t xml:space="preserve">https://www.wallstreetmojo.com/unemployment-rate-formula/</w:t>
        </w:r>
      </w:hyperlink>
      <w:hyperlink r:id="rId44">
        <w:r w:rsidDel="00000000" w:rsidR="00000000" w:rsidRPr="00000000">
          <w:rPr>
            <w:b w:val="0"/>
            <w:i w:val="0"/>
            <w:color w:val="000000"/>
            <w:sz w:val="22"/>
            <w:szCs w:val="22"/>
            <w:u w:val="none"/>
            <w:rtl w:val="0"/>
          </w:rPr>
          <w:t xml:space="preserve"> (Accessed: 27 April 2023).</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rPr>
      </w:pPr>
      <w:hyperlink r:id="rId45">
        <w:r w:rsidDel="00000000" w:rsidR="00000000" w:rsidRPr="00000000">
          <w:rPr>
            <w:b w:val="0"/>
            <w:i w:val="0"/>
            <w:color w:val="000000"/>
            <w:sz w:val="22"/>
            <w:szCs w:val="22"/>
            <w:u w:val="none"/>
            <w:rtl w:val="0"/>
          </w:rPr>
          <w:t xml:space="preserve">Ministry of Justice (2023) </w:t>
        </w:r>
      </w:hyperlink>
      <w:hyperlink r:id="rId46">
        <w:r w:rsidDel="00000000" w:rsidR="00000000" w:rsidRPr="00000000">
          <w:rPr>
            <w:b w:val="0"/>
            <w:i w:val="1"/>
            <w:color w:val="000000"/>
            <w:sz w:val="22"/>
            <w:szCs w:val="22"/>
            <w:u w:val="none"/>
            <w:rtl w:val="0"/>
          </w:rPr>
          <w:t xml:space="preserve">Legal age of marriage in England and Wales rises to 18</w:t>
        </w:r>
      </w:hyperlink>
      <w:hyperlink r:id="rId47">
        <w:r w:rsidDel="00000000" w:rsidR="00000000" w:rsidRPr="00000000">
          <w:rPr>
            <w:b w:val="0"/>
            <w:i w:val="0"/>
            <w:color w:val="000000"/>
            <w:sz w:val="22"/>
            <w:szCs w:val="22"/>
            <w:u w:val="none"/>
            <w:rtl w:val="0"/>
          </w:rPr>
          <w:t xml:space="preserve">, </w:t>
        </w:r>
      </w:hyperlink>
      <w:hyperlink r:id="rId48">
        <w:r w:rsidDel="00000000" w:rsidR="00000000" w:rsidRPr="00000000">
          <w:rPr>
            <w:b w:val="0"/>
            <w:i w:val="1"/>
            <w:color w:val="000000"/>
            <w:sz w:val="22"/>
            <w:szCs w:val="22"/>
            <w:u w:val="none"/>
            <w:rtl w:val="0"/>
          </w:rPr>
          <w:t xml:space="preserve">GOV.UK</w:t>
        </w:r>
      </w:hyperlink>
      <w:hyperlink r:id="rId49">
        <w:r w:rsidDel="00000000" w:rsidR="00000000" w:rsidRPr="00000000">
          <w:rPr>
            <w:b w:val="0"/>
            <w:i w:val="0"/>
            <w:color w:val="000000"/>
            <w:sz w:val="22"/>
            <w:szCs w:val="22"/>
            <w:u w:val="none"/>
            <w:rtl w:val="0"/>
          </w:rPr>
          <w:t xml:space="preserve">. Available at: </w:t>
        </w:r>
      </w:hyperlink>
      <w:hyperlink r:id="rId50">
        <w:r w:rsidDel="00000000" w:rsidR="00000000" w:rsidRPr="00000000">
          <w:rPr>
            <w:b w:val="0"/>
            <w:i w:val="0"/>
            <w:color w:val="000000"/>
            <w:sz w:val="22"/>
            <w:szCs w:val="22"/>
            <w:u w:val="none"/>
            <w:rtl w:val="0"/>
          </w:rPr>
          <w:t xml:space="preserve">https://www.gov.uk/government/news/legal-age-of-marriage-in-england-and-wales-rises-to-18</w:t>
        </w:r>
      </w:hyperlink>
      <w:hyperlink r:id="rId51">
        <w:r w:rsidDel="00000000" w:rsidR="00000000" w:rsidRPr="00000000">
          <w:rPr>
            <w:b w:val="0"/>
            <w:i w:val="0"/>
            <w:color w:val="000000"/>
            <w:sz w:val="22"/>
            <w:szCs w:val="22"/>
            <w:u w:val="none"/>
            <w:rtl w:val="0"/>
          </w:rPr>
          <w:t xml:space="preserve"> (Accessed: 27 April 2023).</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rPr>
      </w:pPr>
      <w:hyperlink r:id="rId52">
        <w:r w:rsidDel="00000000" w:rsidR="00000000" w:rsidRPr="00000000">
          <w:rPr>
            <w:b w:val="0"/>
            <w:i w:val="1"/>
            <w:color w:val="000000"/>
            <w:sz w:val="22"/>
            <w:szCs w:val="22"/>
            <w:u w:val="none"/>
            <w:rtl w:val="0"/>
          </w:rPr>
          <w:t xml:space="preserve">News and insight</w:t>
        </w:r>
      </w:hyperlink>
      <w:hyperlink r:id="rId53">
        <w:r w:rsidDel="00000000" w:rsidR="00000000" w:rsidRPr="00000000">
          <w:rPr>
            <w:b w:val="0"/>
            <w:i w:val="0"/>
            <w:color w:val="000000"/>
            <w:sz w:val="22"/>
            <w:szCs w:val="22"/>
            <w:u w:val="none"/>
            <w:rtl w:val="0"/>
          </w:rPr>
          <w:t xml:space="preserve"> (no date). Available at: </w:t>
        </w:r>
      </w:hyperlink>
      <w:hyperlink r:id="rId54">
        <w:r w:rsidDel="00000000" w:rsidR="00000000" w:rsidRPr="00000000">
          <w:rPr>
            <w:b w:val="0"/>
            <w:i w:val="0"/>
            <w:color w:val="000000"/>
            <w:sz w:val="22"/>
            <w:szCs w:val="22"/>
            <w:u w:val="none"/>
            <w:rtl w:val="0"/>
          </w:rPr>
          <w:t xml:space="preserve">https://www.hesa.ac.uk/news/17-01-2019/sb252-higher-education-student-statistics/numbers%22</w:t>
        </w:r>
      </w:hyperlink>
      <w:hyperlink r:id="rId55">
        <w:r w:rsidDel="00000000" w:rsidR="00000000" w:rsidRPr="00000000">
          <w:rPr>
            <w:b w:val="0"/>
            <w:i w:val="0"/>
            <w:color w:val="000000"/>
            <w:sz w:val="22"/>
            <w:szCs w:val="22"/>
            <w:u w:val="none"/>
            <w:rtl w:val="0"/>
          </w:rPr>
          <w:t xml:space="preserve"> (Accessed: 27 April 2023).</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rPr>
      </w:pPr>
      <w:hyperlink r:id="rId56">
        <w:r w:rsidDel="00000000" w:rsidR="00000000" w:rsidRPr="00000000">
          <w:rPr>
            <w:b w:val="0"/>
            <w:i w:val="0"/>
            <w:color w:val="000000"/>
            <w:sz w:val="22"/>
            <w:szCs w:val="22"/>
            <w:u w:val="none"/>
            <w:rtl w:val="0"/>
          </w:rPr>
          <w:t xml:space="preserve">‘What Can You Ship by Rail?’ (2018). Available at: </w:t>
        </w:r>
      </w:hyperlink>
      <w:hyperlink r:id="rId57">
        <w:r w:rsidDel="00000000" w:rsidR="00000000" w:rsidRPr="00000000">
          <w:rPr>
            <w:b w:val="0"/>
            <w:i w:val="0"/>
            <w:color w:val="000000"/>
            <w:sz w:val="22"/>
            <w:szCs w:val="22"/>
            <w:u w:val="none"/>
            <w:rtl w:val="0"/>
          </w:rPr>
          <w:t xml:space="preserve">http://www.up.com/up/customers/track-record/tr181120_what_can_ship.htm</w:t>
        </w:r>
      </w:hyperlink>
      <w:hyperlink r:id="rId58">
        <w:r w:rsidDel="00000000" w:rsidR="00000000" w:rsidRPr="00000000">
          <w:rPr>
            <w:b w:val="0"/>
            <w:i w:val="0"/>
            <w:color w:val="000000"/>
            <w:sz w:val="22"/>
            <w:szCs w:val="22"/>
            <w:u w:val="none"/>
            <w:rtl w:val="0"/>
          </w:rPr>
          <w:t xml:space="preserve"> (Accessed: 27 April 2023).</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rPr>
      </w:pPr>
      <w:hyperlink r:id="rId59">
        <w:r w:rsidDel="00000000" w:rsidR="00000000" w:rsidRPr="00000000">
          <w:rPr>
            <w:b w:val="0"/>
            <w:i w:val="1"/>
            <w:color w:val="000000"/>
            <w:sz w:val="22"/>
            <w:szCs w:val="22"/>
            <w:u w:val="none"/>
            <w:rtl w:val="0"/>
          </w:rPr>
          <w:t xml:space="preserve">Why we have a census</w:t>
        </w:r>
      </w:hyperlink>
      <w:hyperlink r:id="rId60">
        <w:r w:rsidDel="00000000" w:rsidR="00000000" w:rsidRPr="00000000">
          <w:rPr>
            <w:b w:val="0"/>
            <w:i w:val="0"/>
            <w:color w:val="000000"/>
            <w:sz w:val="22"/>
            <w:szCs w:val="22"/>
            <w:u w:val="none"/>
            <w:rtl w:val="0"/>
          </w:rPr>
          <w:t xml:space="preserve"> (no date). Available at: </w:t>
        </w:r>
      </w:hyperlink>
      <w:hyperlink r:id="rId61">
        <w:r w:rsidDel="00000000" w:rsidR="00000000" w:rsidRPr="00000000">
          <w:rPr>
            <w:b w:val="0"/>
            <w:i w:val="0"/>
            <w:color w:val="000000"/>
            <w:sz w:val="22"/>
            <w:szCs w:val="22"/>
            <w:u w:val="none"/>
            <w:rtl w:val="0"/>
          </w:rPr>
          <w:t xml:space="preserve">https://www.ons.gov.uk/census/2011census/whywehaveacensus#:~:text=Every%20ten%20years%20the%20census,Wales%2C%20Scotland%20and%20Northern%20Ireland.</w:t>
        </w:r>
      </w:hyperlink>
      <w:hyperlink r:id="rId62">
        <w:r w:rsidDel="00000000" w:rsidR="00000000" w:rsidRPr="00000000">
          <w:rPr>
            <w:b w:val="0"/>
            <w:i w:val="0"/>
            <w:color w:val="000000"/>
            <w:sz w:val="22"/>
            <w:szCs w:val="22"/>
            <w:u w:val="none"/>
            <w:rtl w:val="0"/>
          </w:rPr>
          <w:t xml:space="preserve"> (Accessed: 27 April 2023).</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pPr>
      <w:r w:rsidDel="00000000" w:rsidR="00000000" w:rsidRPr="00000000">
        <w:rPr>
          <w:rtl w:val="0"/>
        </w:rPr>
        <w:t xml:space="preserve">Asgari, M. (2023) Fundamentals of Data Science, University of Hull Lecture.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efpxAK/M1pY" TargetMode="External"/><Relationship Id="rId42" Type="http://schemas.openxmlformats.org/officeDocument/2006/relationships/hyperlink" Target="http://paperpile.com/b/efpxAK/M1pY" TargetMode="External"/><Relationship Id="rId41" Type="http://schemas.openxmlformats.org/officeDocument/2006/relationships/hyperlink" Target="http://paperpile.com/b/efpxAK/M1pY" TargetMode="External"/><Relationship Id="rId44" Type="http://schemas.openxmlformats.org/officeDocument/2006/relationships/hyperlink" Target="http://paperpile.com/b/efpxAK/M1pY" TargetMode="External"/><Relationship Id="rId43" Type="http://schemas.openxmlformats.org/officeDocument/2006/relationships/hyperlink" Target="https://www.wallstreetmojo.com/unemployment-rate-formula/" TargetMode="External"/><Relationship Id="rId46" Type="http://schemas.openxmlformats.org/officeDocument/2006/relationships/hyperlink" Target="http://paperpile.com/b/efpxAK/amWV" TargetMode="External"/><Relationship Id="rId45" Type="http://schemas.openxmlformats.org/officeDocument/2006/relationships/hyperlink" Target="http://paperpile.com/b/efpxAK/amW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efpxAK/nssX" TargetMode="External"/><Relationship Id="rId48" Type="http://schemas.openxmlformats.org/officeDocument/2006/relationships/hyperlink" Target="http://paperpile.com/b/efpxAK/amWV" TargetMode="External"/><Relationship Id="rId47" Type="http://schemas.openxmlformats.org/officeDocument/2006/relationships/hyperlink" Target="http://paperpile.com/b/efpxAK/amWV" TargetMode="External"/><Relationship Id="rId49" Type="http://schemas.openxmlformats.org/officeDocument/2006/relationships/hyperlink" Target="http://paperpile.com/b/efpxAK/amWV" TargetMode="External"/><Relationship Id="rId5" Type="http://schemas.openxmlformats.org/officeDocument/2006/relationships/styles" Target="styles.xml"/><Relationship Id="rId6" Type="http://schemas.openxmlformats.org/officeDocument/2006/relationships/hyperlink" Target="https://paperpile.com/c/efpxAK/cPD5" TargetMode="External"/><Relationship Id="rId7" Type="http://schemas.openxmlformats.org/officeDocument/2006/relationships/hyperlink" Target="https://paperpile.com/c/efpxAK/cPD5" TargetMode="External"/><Relationship Id="rId8" Type="http://schemas.openxmlformats.org/officeDocument/2006/relationships/hyperlink" Target="https://paperpile.com/c/efpxAK/cPD5" TargetMode="External"/><Relationship Id="rId31" Type="http://schemas.openxmlformats.org/officeDocument/2006/relationships/hyperlink" Target="http://paperpile.com/b/efpxAK/nssX" TargetMode="External"/><Relationship Id="rId30" Type="http://schemas.openxmlformats.org/officeDocument/2006/relationships/hyperlink" Target="http://paperpile.com/b/efpxAK/8ejO" TargetMode="External"/><Relationship Id="rId33" Type="http://schemas.openxmlformats.org/officeDocument/2006/relationships/hyperlink" Target="http://paperpile.com/b/efpxAK/nssX" TargetMode="External"/><Relationship Id="rId32" Type="http://schemas.openxmlformats.org/officeDocument/2006/relationships/hyperlink" Target="http://paperpile.com/b/efpxAK/nssX" TargetMode="External"/><Relationship Id="rId35" Type="http://schemas.openxmlformats.org/officeDocument/2006/relationships/hyperlink" Target="http://paperpile.com/b/efpxAK/nssX" TargetMode="External"/><Relationship Id="rId34" Type="http://schemas.openxmlformats.org/officeDocument/2006/relationships/hyperlink" Target="http://paperpile.com/b/efpxAK/nssX" TargetMode="External"/><Relationship Id="rId37" Type="http://schemas.openxmlformats.org/officeDocument/2006/relationships/hyperlink" Target="http://paperpile.com/b/efpxAK/nssX" TargetMode="External"/><Relationship Id="rId36" Type="http://schemas.openxmlformats.org/officeDocument/2006/relationships/hyperlink" Target="https://blog.gitnux.com/age-difference-between-couples-statistics/" TargetMode="External"/><Relationship Id="rId39" Type="http://schemas.openxmlformats.org/officeDocument/2006/relationships/hyperlink" Target="http://paperpile.com/b/efpxAK/M1pY" TargetMode="External"/><Relationship Id="rId38" Type="http://schemas.openxmlformats.org/officeDocument/2006/relationships/hyperlink" Target="http://paperpile.com/b/efpxAK/M1pY" TargetMode="External"/><Relationship Id="rId62" Type="http://schemas.openxmlformats.org/officeDocument/2006/relationships/hyperlink" Target="http://paperpile.com/b/efpxAK/cPD5" TargetMode="External"/><Relationship Id="rId61" Type="http://schemas.openxmlformats.org/officeDocument/2006/relationships/hyperlink" Target="https://www.ons.gov.uk/census/2011census/whywehaveacensus#:~:text=Every%20ten%20years%20the%20census,Wales%2C%20Scotland%20and%20Northern%20Ireland." TargetMode="External"/><Relationship Id="rId20" Type="http://schemas.openxmlformats.org/officeDocument/2006/relationships/image" Target="media/image4.png"/><Relationship Id="rId22" Type="http://schemas.openxmlformats.org/officeDocument/2006/relationships/hyperlink" Target="https://paperpile.com/c/efpxAK/M1pY" TargetMode="External"/><Relationship Id="rId21" Type="http://schemas.openxmlformats.org/officeDocument/2006/relationships/image" Target="media/image6.png"/><Relationship Id="rId24" Type="http://schemas.openxmlformats.org/officeDocument/2006/relationships/hyperlink" Target="http://paperpile.com/b/efpxAK/8ejO" TargetMode="External"/><Relationship Id="rId23" Type="http://schemas.openxmlformats.org/officeDocument/2006/relationships/hyperlink" Target="https://paperpile.com/c/efpxAK/7hYS" TargetMode="External"/><Relationship Id="rId60" Type="http://schemas.openxmlformats.org/officeDocument/2006/relationships/hyperlink" Target="http://paperpile.com/b/efpxAK/cPD5" TargetMode="External"/><Relationship Id="rId26" Type="http://schemas.openxmlformats.org/officeDocument/2006/relationships/hyperlink" Target="http://paperpile.com/b/efpxAK/8ejO" TargetMode="External"/><Relationship Id="rId25" Type="http://schemas.openxmlformats.org/officeDocument/2006/relationships/hyperlink" Target="http://paperpile.com/b/efpxAK/8ejO" TargetMode="External"/><Relationship Id="rId28" Type="http://schemas.openxmlformats.org/officeDocument/2006/relationships/hyperlink" Target="http://paperpile.com/b/efpxAK/8ejO" TargetMode="External"/><Relationship Id="rId27" Type="http://schemas.openxmlformats.org/officeDocument/2006/relationships/hyperlink" Target="http://paperpile.com/b/efpxAK/8ejO" TargetMode="External"/><Relationship Id="rId29" Type="http://schemas.openxmlformats.org/officeDocument/2006/relationships/hyperlink" Target="https://www.mentalfloss.com/article/609811/age-ranges-millennials-and-generation-z" TargetMode="External"/><Relationship Id="rId51" Type="http://schemas.openxmlformats.org/officeDocument/2006/relationships/hyperlink" Target="http://paperpile.com/b/efpxAK/amWV" TargetMode="External"/><Relationship Id="rId50" Type="http://schemas.openxmlformats.org/officeDocument/2006/relationships/hyperlink" Target="https://www.gov.uk/government/news/legal-age-of-marriage-in-england-and-wales-rises-to-18" TargetMode="External"/><Relationship Id="rId53" Type="http://schemas.openxmlformats.org/officeDocument/2006/relationships/hyperlink" Target="http://paperpile.com/b/efpxAK/mIJE" TargetMode="External"/><Relationship Id="rId52" Type="http://schemas.openxmlformats.org/officeDocument/2006/relationships/hyperlink" Target="http://paperpile.com/b/efpxAK/mIJE" TargetMode="External"/><Relationship Id="rId11" Type="http://schemas.openxmlformats.org/officeDocument/2006/relationships/hyperlink" Target="https://paperpile.com/c/efpxAK/mIJE" TargetMode="External"/><Relationship Id="rId55" Type="http://schemas.openxmlformats.org/officeDocument/2006/relationships/hyperlink" Target="http://paperpile.com/b/efpxAK/mIJE" TargetMode="External"/><Relationship Id="rId10" Type="http://schemas.openxmlformats.org/officeDocument/2006/relationships/hyperlink" Target="https://paperpile.com/c/efpxAK/mIJE" TargetMode="External"/><Relationship Id="rId54" Type="http://schemas.openxmlformats.org/officeDocument/2006/relationships/hyperlink" Target="https://www.hesa.ac.uk/news/17-01-2019/sb252-higher-education-student-statistics/numbers%22" TargetMode="External"/><Relationship Id="rId13" Type="http://schemas.openxmlformats.org/officeDocument/2006/relationships/hyperlink" Target="https://paperpile.com/c/efpxAK/amWV" TargetMode="External"/><Relationship Id="rId57" Type="http://schemas.openxmlformats.org/officeDocument/2006/relationships/hyperlink" Target="http://www.up.com/up/customers/track-record/tr181120_what_can_ship.htm" TargetMode="External"/><Relationship Id="rId12" Type="http://schemas.openxmlformats.org/officeDocument/2006/relationships/hyperlink" Target="https://paperpile.com/c/efpxAK/mIJE" TargetMode="External"/><Relationship Id="rId56" Type="http://schemas.openxmlformats.org/officeDocument/2006/relationships/hyperlink" Target="http://paperpile.com/b/efpxAK/7hYS" TargetMode="External"/><Relationship Id="rId15" Type="http://schemas.openxmlformats.org/officeDocument/2006/relationships/image" Target="media/image3.png"/><Relationship Id="rId59" Type="http://schemas.openxmlformats.org/officeDocument/2006/relationships/hyperlink" Target="http://paperpile.com/b/efpxAK/cPD5" TargetMode="External"/><Relationship Id="rId14" Type="http://schemas.openxmlformats.org/officeDocument/2006/relationships/hyperlink" Target="https://paperpile.com/c/efpxAK/8ejO" TargetMode="External"/><Relationship Id="rId58" Type="http://schemas.openxmlformats.org/officeDocument/2006/relationships/hyperlink" Target="http://paperpile.com/b/efpxAK/7hYS" TargetMode="External"/><Relationship Id="rId17" Type="http://schemas.openxmlformats.org/officeDocument/2006/relationships/image" Target="media/image7.png"/><Relationship Id="rId16" Type="http://schemas.openxmlformats.org/officeDocument/2006/relationships/image" Target="media/image5.png"/><Relationship Id="rId19" Type="http://schemas.openxmlformats.org/officeDocument/2006/relationships/image" Target="media/image1.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