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33"/>
        <w:gridCol w:w="2948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CURSO INTERACTIVO</w:t>
            </w:r>
          </w:p>
        </w:tc>
        <w:tc>
          <w:tcPr>
            <w:tcW w:type="dxa" w:w="4933"/>
            <w:shd w:fill="1721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6"/>
              </w:rPr>
              <w:t>PAQUETE PARA</w:t>
              <w:br/>
              <w:t>CAPACITACIÓN</w:t>
            </w:r>
          </w:p>
        </w:tc>
      </w:tr>
    </w:tbl>
    <w:p>
      <w:pPr>
        <w:spacing w:after="480"/>
      </w:pPr>
    </w:p>
    <w:p>
      <w:pPr>
        <w:spacing w:after="200"/>
      </w:pPr>
      <w:r>
        <w:rPr>
          <w:rFonts w:ascii="Arial" w:hAnsi="Arial"/>
          <w:b/>
          <w:color w:val="172128"/>
          <w:sz w:val="64"/>
        </w:rPr>
        <w:t>Urodinamia</w:t>
        <w:br/>
        <w:t>asistida</w:t>
      </w:r>
    </w:p>
    <w:p>
      <w:pPr>
        <w:spacing w:after="360"/>
      </w:pPr>
      <w:r>
        <w:rPr>
          <w:rFonts w:ascii="Arial" w:hAnsi="Arial"/>
          <w:b w:val="0"/>
          <w:color w:val="5D6972"/>
          <w:sz w:val="24"/>
        </w:rPr>
        <w:t>Programa institucional para entrenamiento didáctico de TENS que participan asistiendo en urodinamias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1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equipo-cur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4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E7EB"/>
            <w:tcBorders>
              <w:top w:val="single" w:sz="8" w:color="8F2D45"/>
              <w:left w:val="single" w:sz="8" w:color="8F2D45"/>
              <w:bottom w:val="single" w:sz="8" w:color="8F2D45"/>
              <w:right w:val="single" w:sz="8" w:color="8F2D45"/>
              <w:insideH w:val="single" w:sz="8" w:color="8F2D45"/>
              <w:insideV w:val="single" w:sz="8" w:color="8F2D4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8F2D45"/>
                <w:sz w:val="15"/>
              </w:rPr>
              <w:t xml:space="preserve">CONDICIÓN DE USO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Borrador no acreditante. El autor y docente clínico define el contenido. La aprobación formal corresponde al revisor y al centro. Completar la web no equivale a demostrar competencia práctica.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F4F7F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VERSIÓN</w:t>
            </w:r>
          </w:p>
          <w:p>
            <w:r>
              <w:rPr>
                <w:rFonts w:ascii="Arial" w:hAnsi="Arial"/>
                <w:b/>
                <w:color w:val="172128"/>
                <w:sz w:val="17"/>
              </w:rPr>
              <w:t>0.8 · Borrador docente</w:t>
            </w:r>
          </w:p>
        </w:tc>
        <w:tc>
          <w:tcPr>
            <w:tcW w:type="dxa" w:w="3289"/>
            <w:shd w:fill="F4F7F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REVISIÓN</w:t>
            </w:r>
          </w:p>
          <w:p>
            <w:r>
              <w:rPr>
                <w:rFonts w:ascii="Arial" w:hAnsi="Arial"/>
                <w:b/>
                <w:color w:val="172128"/>
                <w:sz w:val="17"/>
              </w:rPr>
              <w:t>23 julio 2026</w:t>
            </w:r>
          </w:p>
        </w:tc>
        <w:tc>
          <w:tcPr>
            <w:tcW w:type="dxa" w:w="3289"/>
            <w:shd w:fill="F4F7F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ESTADO</w:t>
            </w:r>
          </w:p>
          <w:p>
            <w:r>
              <w:rPr>
                <w:rFonts w:ascii="Arial" w:hAnsi="Arial"/>
                <w:b/>
                <w:color w:val="172128"/>
                <w:sz w:val="17"/>
              </w:rPr>
              <w:t>Pendiente de aprobación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01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Ficha institucional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Campos que deben completarse antes de presentar el curso como programa oficial.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Autor y docente clínico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PENDIENTE: nombre de publicación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Revisor clínico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PENDIENTE: nombre, profesión y firma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Centro / unidad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Responsable de Capacitación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Responsable IAAS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 para capítulo de seguridad e infecciones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Equipo y software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PENDIENTE: fabricante, modelo y versión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Versión institucional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0.8 · Borrador docente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Próxima revisión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1EF"/>
            <w:tcBorders>
              <w:top w:val="single" w:sz="8" w:color="0B5954"/>
              <w:left w:val="single" w:sz="8" w:color="0B5954"/>
              <w:bottom w:val="single" w:sz="8" w:color="0B5954"/>
              <w:right w:val="single" w:sz="8" w:color="0B5954"/>
              <w:insideH w:val="single" w:sz="8" w:color="0B5954"/>
              <w:insideV w:val="single" w:sz="8" w:color="0B5954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0B5954"/>
                <w:sz w:val="15"/>
              </w:rPr>
              <w:t xml:space="preserve">AUTORÍA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El docente responsable enseña y define el contenido clínico. La implementación digital corresponde a asistencia técnica de organización, diseño y programación; no constituye autoría ni aprobación clínica.</w:t>
            </w:r>
          </w:p>
        </w:tc>
      </w:tr>
    </w:tbl>
    <w:p>
      <w:pPr>
        <w:spacing w:after="20"/>
      </w:pPr>
    </w:p>
    <w:p>
      <w:pPr>
        <w:pStyle w:val="Heading2"/>
      </w:pPr>
      <w:r>
        <w:t>Separación documental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Estándar general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Manual del equipo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Protocolo local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Terminología y calidad técnica general respaldada por ICS.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Botones, puertos, alarmas y secuencias del equipo real. Pendiente de anexar.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Atribuciones, seguridad, infecciones, residuos y escalamiento. Pendiente de aprobación.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02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Programa y objetivos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Ruta prevista: pretest, módulos, escenarios, postest y evaluación práctica supervisada.</w:t>
      </w:r>
    </w:p>
    <w:p>
      <w:pPr>
        <w:pBdr>
          <w:bottom w:val="single" w:sz="8" w:space="1" w:color="D5DDE3"/>
        </w:pBdr>
        <w:spacing w:after="160"/>
      </w:pPr>
    </w:p>
    <w:p>
      <w:pPr>
        <w:pStyle w:val="Heading2"/>
      </w:pPr>
      <w:r>
        <w:t>Objetivo general</w:t>
      </w:r>
    </w:p>
    <w:p>
      <w:r>
        <w:rPr>
          <w:rFonts w:ascii="Arial" w:hAnsi="Arial"/>
          <w:b w:val="0"/>
          <w:color w:val="172128"/>
          <w:sz w:val="20"/>
        </w:rPr>
        <w:t>Entrenar a TENS y técnicos en salud para preparar, asistir y vigilar la calidad técnica básica de una urodinamia bajo conducción profesional y dentro del protocolo del centro.</w:t>
      </w:r>
    </w:p>
    <w:p>
      <w:pPr>
        <w:pStyle w:val="Heading2"/>
      </w:pPr>
      <w:r>
        <w:t>Objetivos específicos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Ordenar el procedimiento desde el flujo libre hasta el cierre.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Relacionar catéter vesical, catéter rectal con balón, Pves, Pabd y Pdet.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Preparar el uroflujómetro, comprobar receptor, alineación, batería y privacidad.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Asistir el paso vesical estéril y aplicar la fijación enseñada sin tracción ni acodamiento.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Nivelar, realizar cero ambiental y comprobar una respuesta técnica mediante tos.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Reconocer una curva responsiva, no responsiva o negativa, describir el hallazgo y avisar al profesional responsable.</w:t>
      </w:r>
    </w:p>
    <w:p>
      <w:pPr>
        <w:pStyle w:val="ListBullet"/>
        <w:spacing w:after="60"/>
        <w:ind w:left="255" w:hanging="113"/>
      </w:pPr>
      <w:r>
        <w:rPr>
          <w:rFonts w:ascii="Arial" w:hAnsi="Arial"/>
          <w:b w:val="0"/>
          <w:color w:val="5D6972"/>
          <w:sz w:val="18"/>
        </w:rPr>
        <w:t>Diferenciar aprobación teórica de competencia práctica supervisada.</w:t>
      </w:r>
    </w:p>
    <w:p>
      <w:pPr>
        <w:pStyle w:val="Heading2"/>
      </w:pPr>
      <w:r>
        <w:t>Ruta y criterio de evaluación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Límite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Pretest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Banco diagnóstico independiente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Sin aprobación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No bloquea el curso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9 módulos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Entrenamiento guiado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Progreso digital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No certifica competencia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Postest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10 preguntas estratificadas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80% y preguntas críticas correctas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Recuperación por dominio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Práctica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Desempeño en sala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Firma del supervisor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Criterio institucional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EDC"/>
            <w:tcBorders>
              <w:top w:val="single" w:sz="8" w:color="BD7B13"/>
              <w:left w:val="single" w:sz="8" w:color="BD7B13"/>
              <w:bottom w:val="single" w:sz="8" w:color="BD7B13"/>
              <w:right w:val="single" w:sz="8" w:color="BD7B13"/>
              <w:insideH w:val="single" w:sz="8" w:color="BD7B13"/>
              <w:insideV w:val="single" w:sz="8" w:color="BD7B13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BD7B13"/>
                <w:sz w:val="15"/>
              </w:rPr>
              <w:t xml:space="preserve">REGLA DE APROBACIÓN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El resultado web indica que se alcanzó el umbral interno de aprobación teórica. No acredita conocimientos ni competencia. Ningún certificado debe emitirse sin observación directa, rúbrica institucional y firma del supervisor.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03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Matriz de competencias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Matriz curricular, no declaración legal de atribuciones profesionales.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Perfil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Saber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Reconocer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Ejecutar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Fuera de alcance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TENS / técnico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Secuencia, equipo, Pves/Pabd/Pdet y límites.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Equipo no listo, aire, acodamiento, señal dudosa y malestar.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Preparar, asistir, conectar, nivelar, marcar y avisar según autorización.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Indicar, interpretar, diagnosticar, reinsertar o cambiar protocolo autónomamente.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Profesional responsable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Indicación, protocolo, manual, calidad e interpretación.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Artefactos y eventos que exigen corrección o suspensión.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Conducir, decidir, supervisar, interpretar y documentar.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Delegar sin entrenamiento o sustituir práctica por web.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Docente / supervisor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Objetivos, respuestas, rúbrica y protocolo vigente.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Errores críticos, brechas y diferencias del equipo real.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Observar, retroalimentar, repetir y firmar si corresponde.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Certificar lo no observado o aprobar capítulos institucionales sin revisión.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EDC"/>
            <w:tcBorders>
              <w:top w:val="single" w:sz="8" w:color="BD7B13"/>
              <w:left w:val="single" w:sz="8" w:color="BD7B13"/>
              <w:bottom w:val="single" w:sz="8" w:color="BD7B13"/>
              <w:right w:val="single" w:sz="8" w:color="BD7B13"/>
              <w:insideH w:val="single" w:sz="8" w:color="BD7B13"/>
              <w:insideV w:val="single" w:sz="8" w:color="BD7B13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BD7B13"/>
                <w:sz w:val="15"/>
              </w:rPr>
              <w:t xml:space="preserve">PUNTO PENDIENTE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La redacción final sobre la condición de preparación del catéter abdominal/rectal sigue pendiente del docente y fue excluida del banco de preguntas y de los criterios de aprobación.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04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Guía del relator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Secuencia sugerida para una sesión combinada de teoría, demostración y práctica.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1. Apertura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Presentar roles, límites y condición no acreditante de la web.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2. Pretest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Aplicar ocho preguntas del banco diagnóstico independiente y registrar dominios con errores.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3. Módulos 1-2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Explicar ciclo vesical y relación Pves, Pabd y Pdet.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4. Módulos 3-5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Demostrar preparación, flujo libre, cierre y traslado seguro.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5. Módulo 6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Demostrar catéteres y fijación con material real o simulador. Conservar literalmente la técnica del autor.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6. Módulos 7-9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Nivelar, hacer cero, comprobar tos y reconocer señal viva o dudosa.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7. Escenarios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Practicar detectar y avisar sin interpretar ni decidir correcciones de forma autónoma.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8. Postest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Aplicar diez preguntas estratificadas; cubrir los ocho dominios, exigir 80% y todas las preguntas críticas correctas.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9. Práctica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Observar cada ítem; registrar no observado, con ayuda o logrado.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10"/>
      </w:tblGrid>
      <w:t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6"/>
              </w:rPr>
              <w:t>10. Cierre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7"/>
              </w:rPr>
              <w:t>Firmar solo si se cumplen los criterios del centro y registrar pendientes.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1EF"/>
            <w:tcBorders>
              <w:top w:val="single" w:sz="8" w:color="0B5954"/>
              <w:left w:val="single" w:sz="8" w:color="0B5954"/>
              <w:bottom w:val="single" w:sz="8" w:color="0B5954"/>
              <w:right w:val="single" w:sz="8" w:color="0B5954"/>
              <w:insideH w:val="single" w:sz="8" w:color="0B5954"/>
              <w:insideV w:val="single" w:sz="8" w:color="0B5954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0B5954"/>
                <w:sz w:val="15"/>
              </w:rPr>
              <w:t xml:space="preserve">MÉTODO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No entregar respuestas durante el pretest o postest. La recuperación se realiza después del resultado, regresando al módulo señalado.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05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Banco y respuestas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El pretest y el postest usan bancos independientes. El postest toma diez preguntas estratificadas y cubre ocho dominios.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1EF"/>
            <w:tcBorders>
              <w:top w:val="single" w:sz="8" w:color="0B5954"/>
              <w:left w:val="single" w:sz="8" w:color="0B5954"/>
              <w:bottom w:val="single" w:sz="8" w:color="0B5954"/>
              <w:right w:val="single" w:sz="8" w:color="0B5954"/>
              <w:insideH w:val="single" w:sz="8" w:color="0B5954"/>
              <w:insideV w:val="single" w:sz="8" w:color="0B5954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0B5954"/>
                <w:sz w:val="15"/>
              </w:rPr>
              <w:t xml:space="preserve">USO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El pretest no aprueba ni reprueba. En el postest se alcanza el umbral interno con 80% o más y todas las preguntas críticas correctas. Los errores generan recuperación dirigida por dominio.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Dominio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Respuesta esperada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Recuperación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Equipo encendido, receptor vacío, embudo alineado y privacidad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2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Se realiza sin catéteres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3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Secuencia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La uroflujometría libre se realiza antes de instalar los catéteres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4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Sentado en mujeres y hombres; el hombre también puede hacerlo de pie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5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Mantener privacidad y, si se requiere, usar sonido de agua corriendo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Flujo libre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6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Traslado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Vaciar receptor y trasladar el equipo cuidadosamente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Residuo y traslado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7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Residuo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El profesional responsable define ecografía o sonda Nelaton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Residuo y traslado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8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Catéteres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La instalación del catéter vesical usa técnica estéril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Catéteres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9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Fijación masculina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Las lengüetas envuelven el catéter urodinámico, no el pene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Catéteres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10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Fijación femenina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Fijación al labio mayor y segunda fijación a la pierna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Catéteres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11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Presión vesical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Proviene del catéter vesical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Presiones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12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Pabd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Referencia de presión abdominal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Presiones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13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Presión del detrusor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Presión del detrusor = presión vesical − presión abdominal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Presiones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14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Aire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Las burbujas alteran la transmisión de la columna de líquido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Conexión y cero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15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Nivelación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A la altura de la sínfisis púbica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Conexión y cero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16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Tos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Pves y Pabd responden de forma semejante; Pdet cambia poco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Conexión y cero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17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Control abdominal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Durante la tos: detectar la respuesta abdominal plana y avisar al profesional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Llenado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18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Curva dudosa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Reconocer y avisar; no interpretar clínicamente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19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Comprobar posición, receptor, embudo, uroflujómetro y señales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20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Vaciado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Conservar la posición indicada y la privacidad durante la micción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Vaciado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21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Límites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Interpretar curvas y emitir diagnósticos queda fuera del curso TENS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Qué es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22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Síntomas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Avisar de inmediato; detener de forma autónoma solo ante compromiso vital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Llenado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06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Rúbrica práctica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La observación directa es obligatoria y debe usar el equipo y protocolo del centro.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No observado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 ayuda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Logrado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No fue posible observar la conducta o no existe evidencia suficiente.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La conducta se completa con indicaciones, recordatorios o intervención del supervisor.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La conducta se ejecuta en orden, se describe el hallazgo y se avisa al profesional responsable.</w:t>
            </w:r>
          </w:p>
        </w:tc>
      </w:tr>
    </w:tbl>
    <w:p>
      <w:pPr>
        <w:pStyle w:val="Heading2"/>
      </w:pPr>
      <w:r>
        <w:t>Ítems de observación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Conducta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Capa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Preparación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Sala y materiales listos antes de recibir al paciente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Identifica material faltante sin iniciar el procedimiento.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Protocolo local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Uroflujo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Comprueba encendido o batería, receptor vacío y embudo alineado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Realiza los tres controles frente al equipo real.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Manual del equipo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Uroflujo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Prepara una posición sentada y condiciones de privacidad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Da una instrucción clara y deja al paciente en privacidad.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Estándar general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Traslado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Vacía el receptor y traslada el uroflujómetro sin dañarlo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Asegura partes móviles y deja un receptor limpio para la fase siguiente.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Manual del equipo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Instalación y fijación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Prepara el paso vesical estéril sin contaminar el campo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Entrega material en orden y reconoce una ruptura de técnica.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Protocolo local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Instalación y fijación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Fija las líneas según sexo y técnica enseñada, sin tracción ni acodamiento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Demuestra fijación femenina y masculina bajo supervisión.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Protocolo local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Montaje de presión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Conecta Pves y Pabd a sus canales correctos y mantiene la línea sin aire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Traza verbalmente cada conexión y comprueba permeabilidad externa.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Manual del equipo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Montaje de presión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Nivela a pubis y realiza cero ambiental en el orden indicado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Distingue nivelación de puesta a cero y confirma llaves o puertos.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Estándar general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Control de calidad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Realiza la tos de control y reconoce respuesta comparable de Pves y Pabd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Comunica al profesional si uno de los canales no responde.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Estándar general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Control de calidad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Detecta burbujas, acodamiento, desplazamiento y curva no responsiva o negativa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Describe el hallazgo y avisa, sin decidir correcciones de forma autónoma.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Estándar general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Vaciado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Revisa el uroflujómetro y conserva posición y privacidad durante el vaciado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Confirma receptor, embudo, señales y entorno antes de dar la orden.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Protocolo local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Cierre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Asiste el residuo, retiro y cierre según indicación profesional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Entrega el equipo limpio y registra incidentes o desviaciones.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Protocolo local</w:t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4"/>
              </w:rPr>
              <w:t>□ NO</w:t>
              <w:br/>
              <w:t>□ AYUDA</w:t>
              <w:br/>
              <w:t>□ LOGRADO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E7EB"/>
            <w:tcBorders>
              <w:top w:val="single" w:sz="8" w:color="8F2D45"/>
              <w:left w:val="single" w:sz="8" w:color="8F2D45"/>
              <w:bottom w:val="single" w:sz="8" w:color="8F2D45"/>
              <w:right w:val="single" w:sz="8" w:color="8F2D45"/>
              <w:insideH w:val="single" w:sz="8" w:color="8F2D45"/>
              <w:insideV w:val="single" w:sz="8" w:color="8F2D4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8F2D45"/>
                <w:sz w:val="15"/>
              </w:rPr>
              <w:t xml:space="preserve">DECISIÓN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Todos los ítems pueden figurar como logrados y aun así requerir revisión institucional. La competencia se registra únicamente con nombre, firma y criterio del supervisor.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07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Escenarios de sala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Ejercicios para practicar una respuesta ordenada sin atribuir significado clínico a una señal dudosa.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Pérdida de presión abdominal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Durante una tos de control, la presión vesical responde y la abdominal permanece plana.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Detectar la discordancia y avisar qué curva no respondió y durante qué maniobra. Esperar indicación antes de revisar el circuito.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Burbujas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Aire visible o respuesta amortiguada.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Reconocer un posible artefacto que puede influir en las decisiones y avisar. No eliminar aire ni aceptar o repetir el trazado de forma autónoma.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Acodamiento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Línea doblada, comprimida o atrapada.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Reconocer el punto visible y avisar al profesional. Corregirlo solo con una indicación directa.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Desplazamiento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Cambia longitud externa, cinta o línea de base.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Reconocer el cambio sin traccionar, avanzar ni reinsertar; avisar de inmediato.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Curva negativa o sin vida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Señal plana, bajo base o sin respuesta.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Reconocer una señal técnicamente dudosa y comunicar qué canal cambió y cuándo ocurrió.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Dolor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Dolor nuevo o intenso.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Avisar inmediatamente. Detener de forma autónoma solo ante compromiso vital inmediato.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Reacción vagal sospechada</w:t>
            </w:r>
          </w:p>
        </w:tc>
        <w:tc>
          <w:tcPr>
            <w:tcW w:type="dxa" w:w="4933"/>
            <w:shd w:fill="F3F6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6"/>
              </w:rPr>
              <w:t>Mareo, náuseas, sudoración, palidez o malestar súbito.</w:t>
            </w:r>
          </w:p>
        </w:tc>
      </w:tr>
      <w:tr>
        <w:trPr>
          <w:cantSplit/>
        </w:trPr>
        <w:tc>
          <w:tcPr>
            <w:tcW w:type="dxa" w:w="4933"/>
            <w:shd w:fill="E2F1E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0B5954"/>
                <w:sz w:val="14"/>
              </w:rPr>
              <w:t>DETECTAR → AVISAR</w:t>
            </w:r>
          </w:p>
        </w:tc>
        <w:tc>
          <w:tcPr>
            <w:tcW w:type="dxa" w:w="493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Avisar de inmediato; ante compromiso vital, detener y activar el escalamiento local.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EEDC"/>
            <w:tcBorders>
              <w:top w:val="single" w:sz="8" w:color="BD7B13"/>
              <w:left w:val="single" w:sz="8" w:color="BD7B13"/>
              <w:bottom w:val="single" w:sz="8" w:color="BD7B13"/>
              <w:right w:val="single" w:sz="8" w:color="BD7B13"/>
              <w:insideH w:val="single" w:sz="8" w:color="BD7B13"/>
              <w:insideV w:val="single" w:sz="8" w:color="BD7B13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BD7B13"/>
                <w:sz w:val="15"/>
              </w:rPr>
              <w:t xml:space="preserve">SEGURIDAD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El TENS avisa de inmediato ante síntomas. Solo detiene por iniciativa propia ante compromiso vital inmediato; este borrador no define tratamiento y el escalamiento concreto pertenece al protocolo institucional aprobado.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08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Hoja de adaptación al equipo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Completar frente al uroflujómetro, transductores y software que realmente usa el hospital.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Fabricante y modelo de uroflujómetro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Indicador de encendido / batería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Procedimiento para tara o cero del flujo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Posición exacta del receptor y embudo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Forma segura de traslado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Modelo de transductores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Puertos Pves / Pabd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Secuencia de cero ambiental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Control de tos en software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Botón de pausa / reinicio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Marcadores de sensaciones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Alarmas y solución según manual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Diferencias respecto de la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Diferencia encontrada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Adaptación aprobada por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09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Gobierno, validaciones y cambios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Toda modificación clínica debe quedar atribuida, revisada y fechada.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Autor y docente clínico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Revisor clínico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Aprobación de Capacitación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Aprobación IAAS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Aprobación del manual del equipo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Fecha de vigencia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Fecha de próxima revisión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  <w:t>PENDIENTE</w:t>
            </w:r>
          </w:p>
        </w:tc>
      </w:tr>
    </w:tbl>
    <w:p>
      <w:pPr>
        <w:spacing w:after="20"/>
      </w:pPr>
    </w:p>
    <w:p>
      <w:pPr>
        <w:pStyle w:val="Heading2"/>
      </w:pPr>
      <w:r>
        <w:t>Historial incluido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Versión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Fecha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Cambio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0.8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23-07-2026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Flujo libre con imágenes separadas y orden explícita; fijación masculina redibujada; nivelación simplificada; escenarios limitados a detectar y avisar con curvas de Pabd.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0.7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23-07-2026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Fórmula de presión del detrusor redactada como igualdad explícita en curso, evaluación y materiales.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23-07-2026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Pretest reordenado; fijación masculina movida a evaluación posterior; caso de presión abdominal corregido con tos de control.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0.5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23-07-2026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Pdet derivado, evaluaciones estratificadas, bloqueos de acceso, persistencia protegida, identificación y bibliografía 2023.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0.4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22-07-2026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Matriz, pre/postest, recuperación, rúbrica, escenarios y gobierno científico.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0.3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21-07-2026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Fijación masculina: una cinta longitudinal; lengüetas envuelven el catéter.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0.2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21-07-2026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Secuencia completa, imágenes reales y exploradores interactivos.</w:t>
            </w:r>
          </w:p>
        </w:tc>
      </w:tr>
    </w:tbl>
    <w:p>
      <w:pPr>
        <w:pStyle w:val="Heading2"/>
      </w:pPr>
      <w:r>
        <w:t>Control de cambios futuros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Fecha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Versión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Cambio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Autor</w:t>
            </w:r>
          </w:p>
        </w:tc>
        <w:tc>
          <w:tcPr>
            <w:tcW w:type="dxa" w:w="197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Revisor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  <w:tc>
          <w:tcPr>
            <w:tcW w:type="dxa" w:w="197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Validación de seguridad e infecciones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Formulario de aprobación; las instrucciones operativas permanecen deliberadamente vacías.</w:t>
      </w:r>
    </w:p>
    <w:p>
      <w:pPr>
        <w:pBdr>
          <w:bottom w:val="single" w:sz="8" w:space="1" w:color="D5DDE3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E7EB"/>
            <w:tcBorders>
              <w:top w:val="single" w:sz="8" w:color="8F2D45"/>
              <w:left w:val="single" w:sz="8" w:color="8F2D45"/>
              <w:bottom w:val="single" w:sz="8" w:color="8F2D45"/>
              <w:right w:val="single" w:sz="8" w:color="8F2D45"/>
              <w:insideH w:val="single" w:sz="8" w:color="8F2D45"/>
              <w:insideV w:val="single" w:sz="8" w:color="8F2D4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8F2D45"/>
                <w:sz w:val="15"/>
              </w:rPr>
              <w:t xml:space="preserve">BLOQUEO VIGENTE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No incorporar procedimientos de higiene, desinfección, residuos, contaminación ni suspensión hasta la validación del docente, IAAS y centro.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Tema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Documento local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Responsable</w:t>
            </w:r>
          </w:p>
        </w:tc>
        <w:tc>
          <w:tcPr>
            <w:tcW w:type="dxa" w:w="2466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Higiene de manos y elementos de protección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Antisepsia e instalación vesical estéril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Desinfección del equipo y superficies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Manejo de residuos y fluidos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Prevención de contaminación cruzada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Criterios de pausa, suspensión y escalamiento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Respuesta ante dolor o reacción vagal</w:t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</w:r>
          </w:p>
        </w:tc>
        <w:tc>
          <w:tcPr>
            <w:tcW w:type="dxa" w:w="24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□ Pendiente</w:t>
              <w:br/>
              <w:t>□ Aprobado</w:t>
            </w:r>
          </w:p>
        </w:tc>
      </w:tr>
    </w:tbl>
    <w:p>
      <w:pPr>
        <w:pStyle w:val="Heading2"/>
      </w:pPr>
      <w:r>
        <w:t>Firmas de 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Docente clínico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Revisor / IAAS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Centro / Capacitación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br/>
              <w:br/>
              <w:t>Firma: ____________________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br/>
              <w:br/>
              <w:t>Firma: ____________________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br/>
              <w:br/>
              <w:t>Firma: ____________________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Fecha: ____________________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Fecha: ____________________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Fecha: ____________________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90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11</w:t>
            </w:r>
          </w:p>
        </w:tc>
        <w:tc>
          <w:tcPr>
            <w:tcW w:type="dxa" w:w="4933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72128"/>
                <w:sz w:val="36"/>
              </w:rPr>
              <w:t>Bibliografía base</w:t>
            </w:r>
          </w:p>
        </w:tc>
      </w:tr>
    </w:tbl>
    <w:p>
      <w:pPr>
        <w:spacing w:after="180"/>
      </w:pPr>
      <w:r>
        <w:rPr>
          <w:rFonts w:ascii="Arial" w:hAnsi="Arial"/>
          <w:b w:val="0"/>
          <w:color w:val="5D6972"/>
          <w:sz w:val="20"/>
        </w:rPr>
        <w:t>Fuentes generales visibles en la web; deben complementarse con manuales y protocolos locales.</w:t>
      </w:r>
    </w:p>
    <w:p>
      <w:pPr>
        <w:pBdr>
          <w:bottom w:val="single" w:sz="8" w:space="1" w:color="D5DDE3"/>
        </w:pBdr>
        <w:spacing w:after="160"/>
      </w:pP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Rosier P.F.W.M. et al.. </w:t>
      </w:r>
      <w:r>
        <w:rPr>
          <w:rFonts w:ascii="Arial" w:hAnsi="Arial"/>
          <w:b w:val="0"/>
          <w:color w:val="172128"/>
          <w:sz w:val="18"/>
        </w:rPr>
        <w:t xml:space="preserve">International Continence Society Good Urodynamic Practices and Terms 2016: Urodynamics, uroflowmetry, cystometry, and pressure-flow study. </w:t>
      </w:r>
      <w:r>
        <w:rPr>
          <w:rFonts w:ascii="Arial" w:hAnsi="Arial"/>
          <w:b w:val="0"/>
          <w:color w:val="315C8B"/>
          <w:sz w:val="16"/>
        </w:rPr>
        <w:t>https://www.ics.org/folder/standardisation/current-ics-standardisations/d/international-continence-society-good-urodynamic-practices-and-terms-2016-urodynamics-uroflowmetry-cystometry-and-pressure-flow-study/download</w:t>
      </w: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Drake M.J. et al.. </w:t>
      </w:r>
      <w:r>
        <w:rPr>
          <w:rFonts w:ascii="Arial" w:hAnsi="Arial"/>
          <w:b w:val="0"/>
          <w:color w:val="172128"/>
          <w:sz w:val="18"/>
        </w:rPr>
        <w:t xml:space="preserve">ICS-SUFU standard: Theory, terms, and recommendations for pressure-flow studies performance, analysis, and reporting. Part 1. </w:t>
      </w:r>
      <w:r>
        <w:rPr>
          <w:rFonts w:ascii="Arial" w:hAnsi="Arial"/>
          <w:b w:val="0"/>
          <w:color w:val="315C8B"/>
          <w:sz w:val="16"/>
        </w:rPr>
        <w:t>https://doi.org/10.1016/j.cont.2023.100710</w:t>
      </w: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Drake M.J. et al.. </w:t>
      </w:r>
      <w:r>
        <w:rPr>
          <w:rFonts w:ascii="Arial" w:hAnsi="Arial"/>
          <w:b w:val="0"/>
          <w:color w:val="172128"/>
          <w:sz w:val="18"/>
        </w:rPr>
        <w:t xml:space="preserve">ICS-SUFU standard: Theory, terms, and recommendations for pressure-flow studies performance, analysis, and reporting. Part 2. </w:t>
      </w:r>
      <w:r>
        <w:rPr>
          <w:rFonts w:ascii="Arial" w:hAnsi="Arial"/>
          <w:b w:val="0"/>
          <w:color w:val="315C8B"/>
          <w:sz w:val="16"/>
        </w:rPr>
        <w:t>https://doi.org/10.1016/j.cont.2023.100709</w:t>
      </w: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International Continence Society. </w:t>
      </w:r>
      <w:r>
        <w:rPr>
          <w:rFonts w:ascii="Arial" w:hAnsi="Arial"/>
          <w:b w:val="0"/>
          <w:color w:val="172128"/>
          <w:sz w:val="18"/>
        </w:rPr>
        <w:t xml:space="preserve">School of Urodynamics. </w:t>
      </w:r>
      <w:r>
        <w:rPr>
          <w:rFonts w:ascii="Arial" w:hAnsi="Arial"/>
          <w:b w:val="0"/>
          <w:color w:val="315C8B"/>
          <w:sz w:val="16"/>
        </w:rPr>
        <w:t>https://www.ics.org/institute/urodynamics</w:t>
      </w: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Autor del curso. </w:t>
      </w:r>
      <w:r>
        <w:rPr>
          <w:rFonts w:ascii="Arial" w:hAnsi="Arial"/>
          <w:b w:val="0"/>
          <w:color w:val="172128"/>
          <w:sz w:val="18"/>
        </w:rPr>
        <w:t xml:space="preserve">Técnica docente de fijación y secuencia operativa. Nombre de publicación pendiente. </w:t>
      </w:r>
      <w:r>
        <w:rPr>
          <w:rFonts w:ascii="Arial" w:hAnsi="Arial"/>
          <w:b w:val="0"/>
          <w:color w:val="315C8B"/>
          <w:sz w:val="16"/>
        </w:rPr>
        <w:t>Material docente interno</w:t>
      </w:r>
    </w:p>
    <w:p>
      <w:pPr>
        <w:spacing w:after="160"/>
      </w:pPr>
      <w:r>
        <w:rPr>
          <w:rFonts w:ascii="Arial" w:hAnsi="Arial"/>
          <w:b/>
          <w:color w:val="172128"/>
          <w:sz w:val="18"/>
        </w:rPr>
        <w:t xml:space="preserve">Centro. </w:t>
      </w:r>
      <w:r>
        <w:rPr>
          <w:rFonts w:ascii="Arial" w:hAnsi="Arial"/>
          <w:b w:val="0"/>
          <w:color w:val="172128"/>
          <w:sz w:val="18"/>
        </w:rPr>
        <w:t xml:space="preserve">Manual del equipo, protocolo local, seguridad e infecciones. </w:t>
      </w:r>
      <w:r>
        <w:rPr>
          <w:rFonts w:ascii="Arial" w:hAnsi="Arial"/>
          <w:b w:val="0"/>
          <w:color w:val="315C8B"/>
          <w:sz w:val="16"/>
        </w:rPr>
        <w:t>Pendiente de anexar y aprobar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1EF"/>
            <w:tcBorders>
              <w:top w:val="single" w:sz="8" w:color="0B5954"/>
              <w:left w:val="single" w:sz="8" w:color="0B5954"/>
              <w:bottom w:val="single" w:sz="8" w:color="0B5954"/>
              <w:right w:val="single" w:sz="8" w:color="0B5954"/>
              <w:insideH w:val="single" w:sz="8" w:color="0B5954"/>
              <w:insideV w:val="single" w:sz="8" w:color="0B5954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0B5954"/>
                <w:sz w:val="15"/>
              </w:rPr>
              <w:t xml:space="preserve">CIERRE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Antes de publicar una versión institucional, completar todos los campos pendientes, revisar el banco de preguntas y validar el checklist con el equipo real.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r>
            <w:rPr>
              <w:rFonts w:ascii="Arial" w:hAnsi="Arial"/>
              <w:b/>
              <w:color w:val="8F2D45"/>
              <w:sz w:val="14"/>
            </w:rPr>
            <w:t>BORRADOR NO ACREDITANTE</w:t>
          </w:r>
        </w:p>
      </w:tc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5D6972"/>
              <w:sz w:val="14"/>
            </w:rPr>
            <w:t>Versión 0.8 · 23 julio 2026</w:t>
          </w:r>
        </w:p>
      </w:tc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" w:hAnsi="Arial"/>
              <w:b w:val="0"/>
              <w:color w:val="5D6972"/>
              <w:sz w:val="14"/>
            </w:rPr>
            <w:t xml:space="preserve">Pág.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5954"/>
        <w:sz w:val="14"/>
      </w:rPr>
      <w:t>URODINAMIA ASISTIDA · PAQUETE DE CAPACITACIÓN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1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12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59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15C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