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00" w:before="0"/>
        <w:jc w:val="center"/>
      </w:pPr>
      <w:r>
        <w:rPr>
          <w:rFonts w:ascii="Arial" w:cs="Arial" w:eastAsia="Arial" w:hAnsi="Arial"/>
          <w:b/>
          <w:bCs/>
          <w:color w:val="1F5C8B"/>
          <w:sz w:val="44"/>
          <w:szCs w:val="44"/>
        </w:rPr>
        <w:t xml:space="preserve">COMPONENTE 2</w:t>
      </w:r>
    </w:p>
    <w:p>
      <w:pPr>
        <w:spacing w:after="300" w:before="0"/>
        <w:jc w:val="center"/>
      </w:pPr>
      <w:r>
        <w:rPr>
          <w:rFonts w:ascii="Arial" w:cs="Arial" w:eastAsia="Arial" w:hAnsi="Arial"/>
          <w:b/>
          <w:bCs/>
          <w:color w:val="333333"/>
          <w:sz w:val="36"/>
          <w:szCs w:val="36"/>
        </w:rPr>
        <w:t xml:space="preserve">Experimentación Metodológica</w:t>
      </w:r>
    </w:p>
    <w:p>
      <w:pPr>
        <w:spacing w:after="200" w:before="0"/>
        <w:jc w:val="center"/>
      </w:pPr>
      <w:r>
        <w:rPr>
          <w:rFonts w:ascii="Arial" w:cs="Arial" w:eastAsia="Arial" w:hAnsi="Arial"/>
          <w:b w:val="false"/>
          <w:bCs w:val="false"/>
          <w:color w:val="555555"/>
          <w:sz w:val="28"/>
          <w:szCs w:val="28"/>
        </w:rPr>
        <w:t xml:space="preserve">Predicción de Deserción Estudiantil</w:t>
      </w:r>
    </w:p>
    <w:p>
      <w:pPr>
        <w:spacing w:after="100" w:before="0"/>
        <w:jc w:val="center"/>
      </w:pPr>
      <w:r>
        <w:rPr>
          <w:rFonts w:ascii="Arial" w:cs="Arial" w:eastAsia="Arial" w:hAnsi="Arial"/>
          <w:i/>
          <w:iCs/>
          <w:color w:val="666666"/>
          <w:sz w:val="24"/>
          <w:szCs w:val="24"/>
        </w:rPr>
        <w:t xml:space="preserve">Análisis de Invarianza entre Modelos Pre-Tec21 y Tec21</w:t>
      </w:r>
    </w:p>
    <w:p>
      <w:pPr>
        <w:pBdr>
          <w:bottom w:val="single" w:color="1F5C8B" w:sz="4" w:space="1"/>
        </w:pBdr>
        <w:spacing w:after="120" w:before="120"/>
      </w:pPr>
    </w:p>
    <w:p>
      <w:pPr>
        <w:spacing w:after="60" w:before="60"/>
      </w:pPr>
    </w:p>
    <w:p>
      <w:pPr>
        <w:spacing w:after="60" w:before="60"/>
      </w:pPr>
    </w:p>
    <w:p>
      <w:pPr>
        <w:jc w:val="center"/>
      </w:pPr>
      <w:r>
        <w:rPr>
          <w:rFonts w:ascii="Arial" w:cs="Arial" w:eastAsia="Arial" w:hAnsi="Arial"/>
          <w:i/>
          <w:iCs/>
          <w:color w:val="888888"/>
          <w:sz w:val="20"/>
          <w:szCs w:val="20"/>
        </w:rPr>
        <w:t xml:space="preserve">Notebooks de referencia: 02_Experimentacion_Unificada.ipynb  |  02b_KMeans_Independiente.ipynb</w:t>
      </w:r>
    </w:p>
    <w:p>
      <w:pPr>
        <w:spacing w:after="0" w:before="120"/>
        <w:jc w:val="center"/>
      </w:pPr>
      <w:r>
        <w:rPr>
          <w:rFonts w:ascii="Arial" w:cs="Arial" w:eastAsia="Arial" w:hAnsi="Arial"/>
          <w:color w:val="555555"/>
          <w:sz w:val="22"/>
          <w:szCs w:val="22"/>
        </w:rPr>
        <w:t xml:space="preserve">Mayo 2026</w:t>
      </w:r>
    </w:p>
    <w:p>
      <w:r>
        <w:br w:type="page"/>
      </w:r>
    </w:p>
    <w:p>
      <w:pPr>
        <w:pStyle w:val="Heading1"/>
        <w:spacing w:after="180" w:before="360"/>
      </w:pPr>
      <w:r>
        <w:rPr>
          <w:rFonts w:ascii="Arial" w:cs="Arial" w:eastAsia="Arial" w:hAnsi="Arial"/>
          <w:b/>
          <w:bCs/>
          <w:color w:val="1F5C8B"/>
          <w:sz w:val="32"/>
          <w:szCs w:val="32"/>
        </w:rPr>
        <w:t xml:space="preserve">2.1  Aproximación 1: Clustering No Supervisado (K-Means)</w:t>
      </w:r>
    </w:p>
    <w:p>
      <w:pPr>
        <w:pBdr>
          <w:bottom w:val="single" w:color="1F5C8B" w:sz="4" w:space="1"/>
        </w:pBdr>
        <w:spacing w:after="120" w:before="120"/>
      </w:pPr>
    </w:p>
    <w:p>
      <w:pPr>
        <w:pStyle w:val="Heading2"/>
        <w:spacing w:after="120" w:before="280"/>
      </w:pPr>
      <w:r>
        <w:rPr>
          <w:rFonts w:ascii="Arial" w:cs="Arial" w:eastAsia="Arial" w:hAnsi="Arial"/>
          <w:b/>
          <w:bCs/>
          <w:color w:val="1F5C8B"/>
          <w:sz w:val="26"/>
          <w:szCs w:val="26"/>
        </w:rPr>
        <w:t xml:space="preserve">2.1.1  Especificación del Modelo</w:t>
      </w:r>
    </w:p>
    <w:p>
      <w:pPr>
        <w:spacing w:after="100" w:before="80"/>
        <w:jc w:val="both"/>
      </w:pPr>
      <w:r>
        <w:rPr>
          <w:rFonts w:ascii="Arial" w:cs="Arial" w:eastAsia="Arial" w:hAnsi="Arial"/>
          <w:sz w:val="22"/>
          <w:szCs w:val="22"/>
        </w:rPr>
        <w:t xml:space="preserve">Se aplicó K-Means con K=4 clústeres como método principal de segmentación no supervisada, implementado de manera independiente para cada régimen pedagógico (PreTec21 y Tec21) en el notebook 02b_KMeans_Independiente.ipynb. Adicionalmente, el notebook 02_Experimentacion_Unificada.ipynb implementa la variante de proyección de centroides, donde el modelo se entrena sobre PreTec21 y los centroides resultantes se proyectan para asignar membresía en Tec21.</w:t>
      </w:r>
    </w:p>
    <w:p>
      <w:pPr>
        <w:spacing w:after="60" w:before="60"/>
      </w:pPr>
    </w:p>
    <w:p>
      <w:pPr>
        <w:pStyle w:val="Heading3"/>
        <w:spacing w:after="100" w:before="200"/>
      </w:pPr>
      <w:r>
        <w:rPr>
          <w:rFonts w:ascii="Arial" w:cs="Arial" w:eastAsia="Arial" w:hAnsi="Arial"/>
          <w:b/>
          <w:bCs/>
          <w:color w:val="333333"/>
          <w:sz w:val="24"/>
          <w:szCs w:val="24"/>
        </w:rPr>
        <w:t xml:space="preserve">Dataset y Segmentación</w:t>
      </w:r>
    </w:p>
    <w:p>
      <w:pPr>
        <w:spacing w:after="60" w:before="60"/>
        <w:jc w:val="left"/>
      </w:pPr>
      <w:r>
        <w:rPr>
          <w:rFonts w:ascii="Arial" w:cs="Arial" w:eastAsia="Arial" w:hAnsi="Arial"/>
          <w:b/>
          <w:bCs/>
          <w:sz w:val="22"/>
          <w:szCs w:val="22"/>
        </w:rPr>
        <w:t xml:space="preserve">Dataset de entrada: </w:t>
      </w:r>
      <w:r>
        <w:rPr>
          <w:rFonts w:ascii="Arial" w:cs="Arial" w:eastAsia="Arial" w:hAnsi="Arial"/>
          <w:sz w:val="22"/>
          <w:szCs w:val="22"/>
        </w:rPr>
        <w:t xml:space="preserve">dataset_imputed.csv — 77,517 estudiantes universitarios de pregrado, 58 variables</w:t>
      </w:r>
    </w:p>
    <w:p>
      <w:pPr>
        <w:spacing w:after="60" w:before="60"/>
        <w:jc w:val="left"/>
      </w:pPr>
      <w:r>
        <w:rPr>
          <w:rFonts w:ascii="Arial" w:cs="Arial" w:eastAsia="Arial" w:hAnsi="Arial"/>
          <w:b/>
          <w:bCs/>
          <w:sz w:val="22"/>
          <w:szCs w:val="22"/>
        </w:rPr>
        <w:t xml:space="preserve">Régimen PreTec21: </w:t>
      </w:r>
      <w:r>
        <w:rPr>
          <w:rFonts w:ascii="Arial" w:cs="Arial" w:eastAsia="Arial" w:hAnsi="Arial"/>
          <w:sz w:val="22"/>
          <w:szCs w:val="22"/>
        </w:rPr>
        <w:t xml:space="preserve">Generaciones AD14–AD18 → 53,010 estudiantes</w:t>
      </w:r>
    </w:p>
    <w:p>
      <w:pPr>
        <w:spacing w:after="60" w:before="60"/>
        <w:jc w:val="left"/>
      </w:pPr>
      <w:r>
        <w:rPr>
          <w:rFonts w:ascii="Arial" w:cs="Arial" w:eastAsia="Arial" w:hAnsi="Arial"/>
          <w:b/>
          <w:bCs/>
          <w:sz w:val="22"/>
          <w:szCs w:val="22"/>
        </w:rPr>
        <w:t xml:space="preserve">Régimen Tec21: </w:t>
      </w:r>
      <w:r>
        <w:rPr>
          <w:rFonts w:ascii="Arial" w:cs="Arial" w:eastAsia="Arial" w:hAnsi="Arial"/>
          <w:sz w:val="22"/>
          <w:szCs w:val="22"/>
        </w:rPr>
        <w:t xml:space="preserve">Generaciones AD19–AD20 → 24,507 estudiantes</w:t>
      </w:r>
    </w:p>
    <w:p>
      <w:pPr>
        <w:spacing w:after="60" w:before="60"/>
        <w:jc w:val="left"/>
      </w:pPr>
      <w:r>
        <w:rPr>
          <w:rFonts w:ascii="Arial" w:cs="Arial" w:eastAsia="Arial" w:hAnsi="Arial"/>
          <w:b/>
          <w:bCs/>
          <w:sz w:val="22"/>
          <w:szCs w:val="22"/>
        </w:rPr>
        <w:t xml:space="preserve">Variable objetivo: </w:t>
      </w:r>
      <w:r>
        <w:rPr>
          <w:rFonts w:ascii="Arial" w:cs="Arial" w:eastAsia="Arial" w:hAnsi="Arial"/>
          <w:sz w:val="22"/>
          <w:szCs w:val="22"/>
        </w:rPr>
        <w:t xml:space="preserve">retention (1=retenido, 0=desertor) — prevalencia de deserción: ~8.8%</w:t>
      </w:r>
    </w:p>
    <w:p>
      <w:pPr>
        <w:spacing w:after="60" w:before="60"/>
      </w:pPr>
    </w:p>
    <w:p>
      <w:pPr>
        <w:pStyle w:val="Heading3"/>
        <w:spacing w:after="100" w:before="200"/>
      </w:pPr>
      <w:r>
        <w:rPr>
          <w:rFonts w:ascii="Arial" w:cs="Arial" w:eastAsia="Arial" w:hAnsi="Arial"/>
          <w:b/>
          <w:bCs/>
          <w:color w:val="333333"/>
          <w:sz w:val="24"/>
          <w:szCs w:val="24"/>
        </w:rPr>
        <w:t xml:space="preserve">Vector de Características para Clustering</w:t>
      </w:r>
    </w:p>
    <w:p>
      <w:pPr>
        <w:spacing w:after="100" w:before="80"/>
        <w:jc w:val="both"/>
      </w:pPr>
      <w:r>
        <w:rPr>
          <w:rFonts w:ascii="Arial" w:cs="Arial" w:eastAsia="Arial" w:hAnsi="Arial"/>
          <w:sz w:val="22"/>
          <w:szCs w:val="22"/>
        </w:rPr>
        <w:t xml:space="preserve">Las siguientes variables fueron seleccionadas para el vector de clustering por representar características de admisión, académicas y socioeconómicas independientes de la asignación de régimen:</w:t>
      </w:r>
    </w:p>
    <w:p>
      <w:pPr>
        <w:pStyle w:val="ListParagraph"/>
        <w:numPr>
          <w:ilvl w:val="0"/>
          <w:numId w:val="2"/>
        </w:numPr>
        <w:spacing w:after="60" w:before="60"/>
      </w:pPr>
      <w:r>
        <w:rPr>
          <w:rFonts w:ascii="Arial" w:cs="Arial" w:eastAsia="Arial" w:hAnsi="Arial"/>
          <w:sz w:val="22"/>
          <w:szCs w:val="22"/>
        </w:rPr>
        <w:t xml:space="preserve">PNA (Promedio Normalizado de Admisión)</w:t>
      </w:r>
    </w:p>
    <w:p>
      <w:pPr>
        <w:pStyle w:val="ListParagraph"/>
        <w:numPr>
          <w:ilvl w:val="0"/>
          <w:numId w:val="2"/>
        </w:numPr>
        <w:spacing w:after="60" w:before="60"/>
      </w:pPr>
      <w:r>
        <w:rPr>
          <w:rFonts w:ascii="Arial" w:cs="Arial" w:eastAsia="Arial" w:hAnsi="Arial"/>
          <w:sz w:val="22"/>
          <w:szCs w:val="22"/>
        </w:rPr>
        <w:t xml:space="preserve">admission_test_norm (Examen de admisión normalizado)</w:t>
      </w:r>
    </w:p>
    <w:p>
      <w:pPr>
        <w:pStyle w:val="ListParagraph"/>
        <w:numPr>
          <w:ilvl w:val="0"/>
          <w:numId w:val="2"/>
        </w:numPr>
        <w:spacing w:after="60" w:before="60"/>
      </w:pPr>
      <w:r>
        <w:rPr>
          <w:rFonts w:ascii="Arial" w:cs="Arial" w:eastAsia="Arial" w:hAnsi="Arial"/>
          <w:sz w:val="22"/>
          <w:szCs w:val="22"/>
        </w:rPr>
        <w:t xml:space="preserve">english.evaluation (Nivel de inglés al ingreso)</w:t>
      </w:r>
    </w:p>
    <w:p>
      <w:pPr>
        <w:pStyle w:val="ListParagraph"/>
        <w:numPr>
          <w:ilvl w:val="0"/>
          <w:numId w:val="2"/>
        </w:numPr>
        <w:spacing w:after="60" w:before="60"/>
      </w:pPr>
      <w:r>
        <w:rPr>
          <w:rFonts w:ascii="Arial" w:cs="Arial" w:eastAsia="Arial" w:hAnsi="Arial"/>
          <w:sz w:val="22"/>
          <w:szCs w:val="22"/>
        </w:rPr>
        <w:t xml:space="preserve">admission.rubric (Rubrica de admisión)</w:t>
      </w:r>
    </w:p>
    <w:p>
      <w:pPr>
        <w:pStyle w:val="ListParagraph"/>
        <w:numPr>
          <w:ilvl w:val="0"/>
          <w:numId w:val="2"/>
        </w:numPr>
        <w:spacing w:after="60" w:before="60"/>
      </w:pPr>
      <w:r>
        <w:rPr>
          <w:rFonts w:ascii="Arial" w:cs="Arial" w:eastAsia="Arial" w:hAnsi="Arial"/>
          <w:sz w:val="22"/>
          <w:szCs w:val="22"/>
        </w:rPr>
        <w:t xml:space="preserve">apoyo_financiero (Indicador binario de apoyo económico)</w:t>
      </w:r>
    </w:p>
    <w:p>
      <w:pPr>
        <w:pStyle w:val="ListParagraph"/>
        <w:numPr>
          <w:ilvl w:val="0"/>
          <w:numId w:val="2"/>
        </w:numPr>
        <w:spacing w:after="60" w:before="60"/>
      </w:pPr>
      <w:r>
        <w:rPr>
          <w:rFonts w:ascii="Arial" w:cs="Arial" w:eastAsia="Arial" w:hAnsi="Arial"/>
          <w:sz w:val="22"/>
          <w:szCs w:val="22"/>
        </w:rPr>
        <w:t xml:space="preserve">first_gen_enc (Primera generación universitaria en la familia)</w:t>
      </w:r>
    </w:p>
    <w:p>
      <w:pPr>
        <w:pStyle w:val="ListParagraph"/>
        <w:numPr>
          <w:ilvl w:val="0"/>
          <w:numId w:val="2"/>
        </w:numPr>
        <w:spacing w:after="60" w:before="60"/>
      </w:pPr>
      <w:r>
        <w:rPr>
          <w:rFonts w:ascii="Arial" w:cs="Arial" w:eastAsia="Arial" w:hAnsi="Arial"/>
          <w:sz w:val="22"/>
          <w:szCs w:val="22"/>
        </w:rPr>
        <w:t xml:space="preserve">educ_padres_max (Máximo nivel educativo de los padres)</w:t>
      </w:r>
    </w:p>
    <w:p>
      <w:pPr>
        <w:pStyle w:val="ListParagraph"/>
        <w:numPr>
          <w:ilvl w:val="0"/>
          <w:numId w:val="2"/>
        </w:numPr>
        <w:spacing w:after="60" w:before="60"/>
      </w:pPr>
      <w:r>
        <w:rPr>
          <w:rFonts w:ascii="Arial" w:cs="Arial" w:eastAsia="Arial" w:hAnsi="Arial"/>
          <w:sz w:val="22"/>
          <w:szCs w:val="22"/>
        </w:rPr>
        <w:t xml:space="preserve">socioec_enc (Nivel socioeconómico codificado)</w:t>
      </w:r>
    </w:p>
    <w:p>
      <w:pPr>
        <w:pStyle w:val="ListParagraph"/>
        <w:numPr>
          <w:ilvl w:val="0"/>
          <w:numId w:val="2"/>
        </w:numPr>
        <w:spacing w:after="60" w:before="60"/>
      </w:pPr>
      <w:r>
        <w:rPr>
          <w:rFonts w:ascii="Arial" w:cs="Arial" w:eastAsia="Arial" w:hAnsi="Arial"/>
          <w:sz w:val="22"/>
          <w:szCs w:val="22"/>
        </w:rPr>
        <w:t xml:space="preserve">social_lag_enc (Índice de rezago social codificado)</w:t>
      </w:r>
    </w:p>
    <w:p>
      <w:pPr>
        <w:spacing w:after="60" w:before="60"/>
      </w:pPr>
    </w:p>
    <w:p>
      <w:pPr>
        <w:spacing w:after="100" w:before="80"/>
        <w:jc w:val="both"/>
      </w:pPr>
      <w:r>
        <w:rPr>
          <w:rFonts w:ascii="Arial" w:cs="Arial" w:eastAsia="Arial" w:hAnsi="Arial"/>
          <w:sz w:val="22"/>
          <w:szCs w:val="22"/>
        </w:rPr>
        <w:t xml:space="preserve">Variables excluidas del vector de clustering: identificadores de campus (school_enc, region_enc), ya que su inclusión produce segmentación geográfica trivial con Silhouette artificialmente alto pero sin diferencia en tasas de deserción entre clústeres (véase Sección 2.3, Experimento 4).</w:t>
      </w:r>
    </w:p>
    <w:p>
      <w:pPr>
        <w:spacing w:after="60" w:before="60"/>
      </w:pPr>
    </w:p>
    <w:p>
      <w:pPr>
        <w:pStyle w:val="Heading3"/>
        <w:spacing w:after="100" w:before="200"/>
      </w:pPr>
      <w:r>
        <w:rPr>
          <w:rFonts w:ascii="Arial" w:cs="Arial" w:eastAsia="Arial" w:hAnsi="Arial"/>
          <w:b/>
          <w:bCs/>
          <w:color w:val="333333"/>
          <w:sz w:val="24"/>
          <w:szCs w:val="24"/>
        </w:rPr>
        <w:t xml:space="preserve">Preprocesamiento</w:t>
      </w:r>
    </w:p>
    <w:p>
      <w:pPr>
        <w:pStyle w:val="ListParagraph"/>
        <w:numPr>
          <w:ilvl w:val="0"/>
          <w:numId w:val="2"/>
        </w:numPr>
        <w:spacing w:after="60" w:before="60"/>
      </w:pPr>
      <w:r>
        <w:rPr>
          <w:rFonts w:ascii="Arial" w:cs="Arial" w:eastAsia="Arial" w:hAnsi="Arial"/>
          <w:sz w:val="22"/>
          <w:szCs w:val="22"/>
        </w:rPr>
        <w:t xml:space="preserve">Imputación de valores faltantes: mediana para variables continuas, moda para categóricas</w:t>
      </w:r>
    </w:p>
    <w:p>
      <w:pPr>
        <w:pStyle w:val="ListParagraph"/>
        <w:numPr>
          <w:ilvl w:val="0"/>
          <w:numId w:val="2"/>
        </w:numPr>
        <w:spacing w:after="60" w:before="60"/>
      </w:pPr>
      <w:r>
        <w:rPr>
          <w:rFonts w:ascii="Arial" w:cs="Arial" w:eastAsia="Arial" w:hAnsi="Arial"/>
          <w:sz w:val="22"/>
          <w:szCs w:val="22"/>
        </w:rPr>
        <w:t xml:space="preserve">Estandarización: StandardScaler (µ=0, σ=1) ajustado independientemente por régimen en el notebook 02b</w:t>
      </w:r>
    </w:p>
    <w:p>
      <w:pPr>
        <w:pStyle w:val="ListParagraph"/>
        <w:numPr>
          <w:ilvl w:val="0"/>
          <w:numId w:val="2"/>
        </w:numPr>
        <w:spacing w:after="60" w:before="60"/>
      </w:pPr>
      <w:r>
        <w:rPr>
          <w:rFonts w:ascii="Arial" w:cs="Arial" w:eastAsia="Arial" w:hAnsi="Arial"/>
          <w:sz w:val="22"/>
          <w:szCs w:val="22"/>
        </w:rPr>
        <w:t xml:space="preserve">Exclusión de outliers extremos: valores &gt; 4σ reemplazados por el límite</w:t>
      </w:r>
    </w:p>
    <w:p>
      <w:pPr>
        <w:spacing w:after="60" w:before="60"/>
      </w:pPr>
    </w:p>
    <w:p>
      <w:pPr>
        <w:pStyle w:val="Heading2"/>
        <w:spacing w:after="120" w:before="280"/>
      </w:pPr>
      <w:r>
        <w:rPr>
          <w:rFonts w:ascii="Arial" w:cs="Arial" w:eastAsia="Arial" w:hAnsi="Arial"/>
          <w:b/>
          <w:bCs/>
          <w:color w:val="1F5C8B"/>
          <w:sz w:val="26"/>
          <w:szCs w:val="26"/>
        </w:rPr>
        <w:t xml:space="preserve">2.1.2  Hiperparámetros y Configuración Final</w:t>
      </w:r>
    </w:p>
    <w:p>
      <w:pPr>
        <w:spacing w:after="100" w:before="80"/>
        <w:jc w:val="both"/>
      </w:pPr>
      <w:r>
        <w:rPr>
          <w:rFonts w:ascii="Arial" w:cs="Arial" w:eastAsia="Arial" w:hAnsi="Arial"/>
          <w:sz w:val="22"/>
          <w:szCs w:val="22"/>
        </w:rPr>
        <w:t xml:space="preserve">La selección del número de clústeres K se realizó mediante el análisis conjunto de tres criterios evaluados sobre una submuestra aleatoria de 5,000 observaciones para eficiencia computacional (implementado en la Sección 6b de ambos notebooks):</w:t>
      </w:r>
    </w:p>
    <w:p>
      <w:pPr>
        <w:spacing w:after="60" w:before="60"/>
      </w:pPr>
    </w:p>
    <w:p>
      <w:pPr>
        <w:pStyle w:val="ListParagraph"/>
        <w:numPr>
          <w:ilvl w:val="0"/>
          <w:numId w:val="2"/>
        </w:numPr>
        <w:spacing w:after="60" w:before="60"/>
      </w:pPr>
      <w:r>
        <w:rPr>
          <w:rFonts w:ascii="Arial" w:cs="Arial" w:eastAsia="Arial" w:hAnsi="Arial"/>
          <w:sz w:val="22"/>
          <w:szCs w:val="22"/>
        </w:rPr>
        <w:t xml:space="preserve">Método del codo (Elbow Method): evaluación de la inercia intra-clúster para K ∈ {2, …, 8}</w:t>
      </w:r>
    </w:p>
    <w:p>
      <w:pPr>
        <w:pStyle w:val="ListParagraph"/>
        <w:numPr>
          <w:ilvl w:val="0"/>
          <w:numId w:val="2"/>
        </w:numPr>
        <w:spacing w:after="60" w:before="60"/>
      </w:pPr>
      <w:r>
        <w:rPr>
          <w:rFonts w:ascii="Arial" w:cs="Arial" w:eastAsia="Arial" w:hAnsi="Arial"/>
          <w:sz w:val="22"/>
          <w:szCs w:val="22"/>
        </w:rPr>
        <w:t xml:space="preserve">Puntuación Silhouette: mide cohesión intra-clúster vs. separación inter-clúster; rango [-1, 1], mayor es mejor</w:t>
      </w:r>
    </w:p>
    <w:p>
      <w:pPr>
        <w:pStyle w:val="ListParagraph"/>
        <w:numPr>
          <w:ilvl w:val="0"/>
          <w:numId w:val="2"/>
        </w:numPr>
        <w:spacing w:after="60" w:before="60"/>
      </w:pPr>
      <w:r>
        <w:rPr>
          <w:rFonts w:ascii="Arial" w:cs="Arial" w:eastAsia="Arial" w:hAnsi="Arial"/>
          <w:sz w:val="22"/>
          <w:szCs w:val="22"/>
        </w:rPr>
        <w:t xml:space="preserve">Índice Davies-Bouldin (DB): razón entre dispersión intra-clúster y separación entre clústeres; menor es mejor</w:t>
      </w:r>
    </w:p>
    <w:p>
      <w:pPr>
        <w:spacing w:after="60" w:before="60"/>
      </w:pPr>
    </w:p>
    <w:p>
      <w:pPr>
        <w:spacing w:after="100" w:before="80"/>
        <w:jc w:val="both"/>
      </w:pPr>
      <w:r>
        <w:rPr>
          <w:rFonts w:ascii="Arial" w:cs="Arial" w:eastAsia="Arial" w:hAnsi="Arial"/>
          <w:sz w:val="22"/>
          <w:szCs w:val="22"/>
        </w:rPr>
        <w:t xml:space="preserve">Los tres criterios convergieron en K=4 como el punto de inflexión del codo y el máximo de Silhouette antes de la degradación posterior. Los parámetros finales configurados fueron:</w:t>
      </w:r>
    </w:p>
    <w:p>
      <w:pPr>
        <w:spacing w:after="60" w:before="60"/>
      </w:pPr>
    </w:p>
    <w:p>
      <w:pPr>
        <w:spacing w:after="60" w:before="60"/>
        <w:jc w:val="left"/>
      </w:pPr>
      <w:r>
        <w:rPr>
          <w:rFonts w:ascii="Arial" w:cs="Arial" w:eastAsia="Arial" w:hAnsi="Arial"/>
          <w:b/>
          <w:bCs/>
          <w:sz w:val="22"/>
          <w:szCs w:val="22"/>
        </w:rPr>
        <w:t xml:space="preserve">Algoritmo: </w:t>
      </w:r>
      <w:r>
        <w:rPr>
          <w:rFonts w:ascii="Arial" w:cs="Arial" w:eastAsia="Arial" w:hAnsi="Arial"/>
          <w:sz w:val="22"/>
          <w:szCs w:val="22"/>
        </w:rPr>
        <w:t xml:space="preserve">KMeans (scikit-learn v1.3+)</w:t>
      </w:r>
    </w:p>
    <w:p>
      <w:pPr>
        <w:spacing w:after="60" w:before="60"/>
        <w:jc w:val="left"/>
      </w:pPr>
      <w:r>
        <w:rPr>
          <w:rFonts w:ascii="Arial" w:cs="Arial" w:eastAsia="Arial" w:hAnsi="Arial"/>
          <w:b/>
          <w:bCs/>
          <w:sz w:val="22"/>
          <w:szCs w:val="22"/>
        </w:rPr>
        <w:t xml:space="preserve">K (número de clústeres): </w:t>
      </w:r>
      <w:r>
        <w:rPr>
          <w:rFonts w:ascii="Arial" w:cs="Arial" w:eastAsia="Arial" w:hAnsi="Arial"/>
          <w:sz w:val="22"/>
          <w:szCs w:val="22"/>
        </w:rPr>
        <w:t xml:space="preserve">4</w:t>
      </w:r>
    </w:p>
    <w:p>
      <w:pPr>
        <w:spacing w:after="60" w:before="60"/>
        <w:jc w:val="left"/>
      </w:pPr>
      <w:r>
        <w:rPr>
          <w:rFonts w:ascii="Arial" w:cs="Arial" w:eastAsia="Arial" w:hAnsi="Arial"/>
          <w:b/>
          <w:bCs/>
          <w:sz w:val="22"/>
          <w:szCs w:val="22"/>
        </w:rPr>
        <w:t xml:space="preserve">n_init: </w:t>
      </w:r>
      <w:r>
        <w:rPr>
          <w:rFonts w:ascii="Arial" w:cs="Arial" w:eastAsia="Arial" w:hAnsi="Arial"/>
          <w:sz w:val="22"/>
          <w:szCs w:val="22"/>
        </w:rPr>
        <w:t xml:space="preserve">10 inicializaciones aleatorias; se retiene la de menor inercia</w:t>
      </w:r>
    </w:p>
    <w:p>
      <w:pPr>
        <w:spacing w:after="60" w:before="60"/>
        <w:jc w:val="left"/>
      </w:pPr>
      <w:r>
        <w:rPr>
          <w:rFonts w:ascii="Arial" w:cs="Arial" w:eastAsia="Arial" w:hAnsi="Arial"/>
          <w:b/>
          <w:bCs/>
          <w:sz w:val="22"/>
          <w:szCs w:val="22"/>
        </w:rPr>
        <w:t xml:space="preserve">init: </w:t>
      </w:r>
      <w:r>
        <w:rPr>
          <w:rFonts w:ascii="Arial" w:cs="Arial" w:eastAsia="Arial" w:hAnsi="Arial"/>
          <w:sz w:val="22"/>
          <w:szCs w:val="22"/>
        </w:rPr>
        <w:t xml:space="preserve">k-means++ (inicialización inteligente de centroides)</w:t>
      </w:r>
    </w:p>
    <w:p>
      <w:pPr>
        <w:spacing w:after="60" w:before="60"/>
        <w:jc w:val="left"/>
      </w:pPr>
      <w:r>
        <w:rPr>
          <w:rFonts w:ascii="Arial" w:cs="Arial" w:eastAsia="Arial" w:hAnsi="Arial"/>
          <w:b/>
          <w:bCs/>
          <w:sz w:val="22"/>
          <w:szCs w:val="22"/>
        </w:rPr>
        <w:t xml:space="preserve">max_iter: </w:t>
      </w:r>
      <w:r>
        <w:rPr>
          <w:rFonts w:ascii="Arial" w:cs="Arial" w:eastAsia="Arial" w:hAnsi="Arial"/>
          <w:sz w:val="22"/>
          <w:szCs w:val="22"/>
        </w:rPr>
        <w:t xml:space="preserve">300 iteraciones máximas por inicialización</w:t>
      </w:r>
    </w:p>
    <w:p>
      <w:pPr>
        <w:spacing w:after="60" w:before="60"/>
        <w:jc w:val="left"/>
      </w:pPr>
      <w:r>
        <w:rPr>
          <w:rFonts w:ascii="Arial" w:cs="Arial" w:eastAsia="Arial" w:hAnsi="Arial"/>
          <w:b/>
          <w:bCs/>
          <w:sz w:val="22"/>
          <w:szCs w:val="22"/>
        </w:rPr>
        <w:t xml:space="preserve">random_state: </w:t>
      </w:r>
      <w:r>
        <w:rPr>
          <w:rFonts w:ascii="Arial" w:cs="Arial" w:eastAsia="Arial" w:hAnsi="Arial"/>
          <w:sz w:val="22"/>
          <w:szCs w:val="22"/>
        </w:rPr>
        <w:t xml:space="preserve">42 (reproducibilidad)</w:t>
      </w:r>
    </w:p>
    <w:p>
      <w:pPr>
        <w:spacing w:after="60" w:before="60"/>
        <w:jc w:val="left"/>
      </w:pPr>
      <w:r>
        <w:rPr>
          <w:rFonts w:ascii="Arial" w:cs="Arial" w:eastAsia="Arial" w:hAnsi="Arial"/>
          <w:b/>
          <w:bCs/>
          <w:sz w:val="22"/>
          <w:szCs w:val="22"/>
        </w:rPr>
        <w:t xml:space="preserve">Normalización: </w:t>
      </w:r>
      <w:r>
        <w:rPr>
          <w:rFonts w:ascii="Arial" w:cs="Arial" w:eastAsia="Arial" w:hAnsi="Arial"/>
          <w:sz w:val="22"/>
          <w:szCs w:val="22"/>
        </w:rPr>
        <w:t xml:space="preserve">StandardScaler ajustado por régimen (notebook 02b) o global (notebook 02)</w:t>
      </w:r>
    </w:p>
    <w:p>
      <w:pPr>
        <w:spacing w:after="60" w:before="60"/>
      </w:pPr>
    </w:p>
    <w:p>
      <w:pPr>
        <w:pStyle w:val="Heading2"/>
        <w:spacing w:after="120" w:before="280"/>
      </w:pPr>
      <w:r>
        <w:rPr>
          <w:rFonts w:ascii="Arial" w:cs="Arial" w:eastAsia="Arial" w:hAnsi="Arial"/>
          <w:b/>
          <w:bCs/>
          <w:color w:val="1F5C8B"/>
          <w:sz w:val="26"/>
          <w:szCs w:val="26"/>
        </w:rPr>
        <w:t xml:space="preserve">2.1.3  Resultados de Validación</w:t>
      </w:r>
    </w:p>
    <w:p>
      <w:pPr>
        <w:pStyle w:val="Heading3"/>
        <w:spacing w:after="100" w:before="200"/>
      </w:pPr>
      <w:r>
        <w:rPr>
          <w:rFonts w:ascii="Arial" w:cs="Arial" w:eastAsia="Arial" w:hAnsi="Arial"/>
          <w:b/>
          <w:bCs/>
          <w:color w:val="333333"/>
          <w:sz w:val="24"/>
          <w:szCs w:val="24"/>
        </w:rPr>
        <w:t xml:space="preserve">Métricas de Calidad de Clustering</w:t>
      </w:r>
    </w:p>
    <w:p>
      <w:pPr>
        <w:spacing w:after="100" w:before="80"/>
        <w:jc w:val="both"/>
      </w:pPr>
      <w:r>
        <w:rPr>
          <w:rFonts w:ascii="Arial" w:cs="Arial" w:eastAsia="Arial" w:hAnsi="Arial"/>
          <w:sz w:val="22"/>
          <w:szCs w:val="22"/>
        </w:rPr>
        <w:t xml:space="preserve">La siguiente tabla resume los resultados de validación de clustering para las cuatro configuraciones evaluadas: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00"/>
        <w:gridCol w:w="2460"/>
      </w:tblGrid>
      <w:tr>
        <w:trPr>
          <w:tblHeader/>
        </w:trPr>
        <w:tc>
          <w:tcPr>
            <w:tcW w:type="dxa" w:w="22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Configuración</w:t>
            </w:r>
          </w:p>
        </w:tc>
        <w:tc>
          <w:tcPr>
            <w:tcW w:type="dxa" w:w="1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Silhouette</w:t>
            </w:r>
          </w:p>
        </w:tc>
        <w:tc>
          <w:tcPr>
            <w:tcW w:type="dxa" w:w="1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Davies-Bouldin</w:t>
            </w:r>
          </w:p>
        </w:tc>
        <w:tc>
          <w:tcPr>
            <w:tcW w:type="dxa" w:w="15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K Seleccionado</w:t>
            </w:r>
          </w:p>
        </w:tc>
        <w:tc>
          <w:tcPr>
            <w:tcW w:type="dxa" w:w="24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Observaciones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K-Means PreTec21
(centroide)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0.177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1.683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 de comparación; centroides proyectados a Tec21</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K-Means Tec21
(proyección)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0.177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1.683</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2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Mismos parámetros; métricas idénticas por diseño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K-Means PreTec21
(independiente)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0.177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1.683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Scaler propio; mismo k por coincidencia de criterios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K-Means Tec21
(independiente)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0.204</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1.361</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2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Mejor cohesión interna; distribución diferente en Tec21</w:t>
            </w:r>
          </w:p>
        </w:tc>
      </w:tr>
    </w:tbl>
    <w:p>
      <w:pPr>
        <w:spacing w:after="60" w:before="60"/>
      </w:pPr>
    </w:p>
    <w:p>
      <w:pPr>
        <w:spacing w:after="100" w:before="80"/>
        <w:jc w:val="both"/>
      </w:pPr>
      <w:r>
        <w:rPr>
          <w:rFonts w:ascii="Arial" w:cs="Arial" w:eastAsia="Arial" w:hAnsi="Arial"/>
          <w:sz w:val="22"/>
          <w:szCs w:val="22"/>
        </w:rPr>
        <w:t xml:space="preserve">Nota interpretativa: Un Silhouette de 0.177 indica separación moderada, típica en datos de admisión universitaria donde los perfiles son continuos y sin límites discretos. El Silhouette del clúster Tec21 independiente (0.204) es significativamente superior, lo que sugiere que Tec21 tiene perfiles internamente más coherentes cuando no se fuerza la estructura de PreTec21.</w:t>
      </w:r>
    </w:p>
    <w:p>
      <w:pPr>
        <w:spacing w:after="60" w:before="60"/>
      </w:pPr>
    </w:p>
    <w:p>
      <w:pPr>
        <w:pStyle w:val="Heading3"/>
        <w:spacing w:after="100" w:before="200"/>
      </w:pPr>
      <w:r>
        <w:rPr>
          <w:rFonts w:ascii="Arial" w:cs="Arial" w:eastAsia="Arial" w:hAnsi="Arial"/>
          <w:b/>
          <w:bCs/>
          <w:color w:val="333333"/>
          <w:sz w:val="24"/>
          <w:szCs w:val="24"/>
        </w:rPr>
        <w:t xml:space="preserve">Perfiles de Clúster Identificados (PreTec21)</w:t>
      </w:r>
    </w:p>
    <w:p>
      <w:pPr>
        <w:spacing w:after="100" w:before="80"/>
        <w:jc w:val="both"/>
      </w:pPr>
      <w:r>
        <w:rPr>
          <w:rFonts w:ascii="Arial" w:cs="Arial" w:eastAsia="Arial" w:hAnsi="Arial"/>
          <w:sz w:val="22"/>
          <w:szCs w:val="22"/>
        </w:rPr>
        <w:t xml:space="preserve">Cada clúster fue caracterizado mediante los promedios de las variables en el espacio original (no estandarizado):</w:t>
      </w:r>
    </w:p>
    <w:p>
      <w:pPr>
        <w:spacing w:after="60" w:before="60"/>
      </w:pPr>
    </w:p>
    <w:p>
      <w:pPr>
        <w:pStyle w:val="ListParagraph"/>
        <w:numPr>
          <w:ilvl w:val="0"/>
          <w:numId w:val="2"/>
        </w:numPr>
        <w:spacing w:after="60" w:before="60"/>
      </w:pPr>
      <w:r>
        <w:rPr>
          <w:rFonts w:ascii="Arial" w:cs="Arial" w:eastAsia="Arial" w:hAnsi="Arial"/>
          <w:sz w:val="22"/>
          <w:szCs w:val="22"/>
        </w:rPr>
        <w:t xml:space="preserve">C0 — Perfil Estándar con Actividades Extracurriculares: PNA medio-alto (7.8), has_extracurriculars=1.0, first_gen_enc=0 (no primera generación), apoyo_financiero bajo. Tasa de deserción: ~7.2%.</w:t>
      </w:r>
    </w:p>
    <w:p>
      <w:pPr>
        <w:pStyle w:val="ListParagraph"/>
        <w:numPr>
          <w:ilvl w:val="0"/>
          <w:numId w:val="2"/>
        </w:numPr>
        <w:spacing w:after="60" w:before="60"/>
      </w:pPr>
      <w:r>
        <w:rPr>
          <w:rFonts w:ascii="Arial" w:cs="Arial" w:eastAsia="Arial" w:hAnsi="Arial"/>
          <w:sz w:val="22"/>
          <w:szCs w:val="22"/>
        </w:rPr>
        <w:t xml:space="preserve">C1 — Primera Generación Universitaria: first_gen_enc=1, educ_padres_max bajo (&lt;12 años), socioec_enc bajo, admission_test_norm moderado (55-60 percentil). Tasa de deserción: ~9.8%.</w:t>
      </w:r>
    </w:p>
    <w:p>
      <w:pPr>
        <w:pStyle w:val="ListParagraph"/>
        <w:numPr>
          <w:ilvl w:val="0"/>
          <w:numId w:val="2"/>
        </w:numPr>
        <w:spacing w:after="60" w:before="60"/>
      </w:pPr>
      <w:r>
        <w:rPr>
          <w:rFonts w:ascii="Arial" w:cs="Arial" w:eastAsia="Arial" w:hAnsi="Arial"/>
          <w:sz w:val="22"/>
          <w:szCs w:val="22"/>
        </w:rPr>
        <w:t xml:space="preserve">C2 — Rezago Social con Apoyo Financiero: social_lag_enc alto, apoyo_financiero=1, PNA medio (7.2-7.5). Perfil con soporte institucional activo. Tasa de deserción: ~8.5%.</w:t>
      </w:r>
    </w:p>
    <w:p>
      <w:pPr>
        <w:pStyle w:val="ListParagraph"/>
        <w:numPr>
          <w:ilvl w:val="0"/>
          <w:numId w:val="2"/>
        </w:numPr>
        <w:spacing w:after="60" w:before="60"/>
      </w:pPr>
      <w:r>
        <w:rPr>
          <w:rFonts w:ascii="Arial" w:cs="Arial" w:eastAsia="Arial" w:hAnsi="Arial"/>
          <w:sz w:val="22"/>
          <w:szCs w:val="22"/>
        </w:rPr>
        <w:t xml:space="preserve">C3 — Mayor Riesgo Combinado: admission_test_norm bajo (&lt;40 percentil), social_lag_enc alto, first_gen_enc=1, sin apoyo financiero. Tasa de deserción más alta: ~12.3%.</w:t>
      </w:r>
    </w:p>
    <w:p>
      <w:pPr>
        <w:spacing w:after="60" w:before="60"/>
      </w:pPr>
    </w:p>
    <w:p>
      <w:pPr>
        <w:pStyle w:val="Heading3"/>
        <w:spacing w:after="100" w:before="200"/>
      </w:pPr>
      <w:r>
        <w:rPr>
          <w:rFonts w:ascii="Arial" w:cs="Arial" w:eastAsia="Arial" w:hAnsi="Arial"/>
          <w:b/>
          <w:bCs/>
          <w:color w:val="333333"/>
          <w:sz w:val="24"/>
          <w:szCs w:val="24"/>
        </w:rPr>
        <w:t xml:space="preserve">Match de Clústeres entre Regímenes (K-Means Independiente)</w:t>
      </w:r>
    </w:p>
    <w:p>
      <w:pPr>
        <w:spacing w:after="100" w:before="80"/>
        <w:jc w:val="both"/>
      </w:pPr>
      <w:r>
        <w:rPr>
          <w:rFonts w:ascii="Arial" w:cs="Arial" w:eastAsia="Arial" w:hAnsi="Arial"/>
          <w:sz w:val="22"/>
          <w:szCs w:val="22"/>
        </w:rPr>
        <w:t xml:space="preserve">La correspondencia entre clústeres PreTec21 y Tec21 fue determinada mediante la matriz de distancias coseno entre centroides normalizados. Los umbrales de interpretación adoptados fueron: &lt; 0.15 = coincidencia alta, 0.15–0.35 = parcial, &gt; 0.35 = sin correspondencia.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1400"/>
        <w:gridCol w:w="3660"/>
      </w:tblGrid>
      <w:tr>
        <w:trPr>
          <w:tblHeader/>
        </w:trPr>
        <w:tc>
          <w:tcPr>
            <w:tcW w:type="dxa" w:w="14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Cluster PreTec21</w:t>
            </w:r>
          </w:p>
        </w:tc>
        <w:tc>
          <w:tcPr>
            <w:tcW w:type="dxa" w:w="14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Cluster Tec21</w:t>
            </w:r>
          </w:p>
        </w:tc>
        <w:tc>
          <w:tcPr>
            <w:tcW w:type="dxa" w:w="15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Distancia Coseno</w:t>
            </w:r>
          </w:p>
        </w:tc>
        <w:tc>
          <w:tcPr>
            <w:tcW w:type="dxa" w:w="14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Nivel de Match</w:t>
            </w:r>
          </w:p>
        </w:tc>
        <w:tc>
          <w:tcPr>
            <w:tcW w:type="dxa" w:w="36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Interpretación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C3 (alto riesgo)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0.030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ALTO</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Perfil de mayor riesgo completamente estable entre regímenes</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C2 (primera gen.)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0.142</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ALTO</w:t>
            </w:r>
          </w:p>
        </w:tc>
        <w:tc>
          <w:tcPr>
            <w:tcW w:type="dxa" w:w="3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Perfil primera generación preservado con leve reconfiguración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 (rezago social)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0.247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PARCIAL</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Similitud modesta; predictores de rezago presentan drift</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 (extracurricular)</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(sin match)</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0.794</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 MATCH</w:t>
            </w:r>
          </w:p>
        </w:tc>
        <w:tc>
          <w:tcPr>
            <w:tcW w:type="dxa" w:w="3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Pre_C0 se fragmenta en Tec21; no tiene contraparte directa</w:t>
            </w:r>
          </w:p>
        </w:tc>
      </w:tr>
    </w:tbl>
    <w:p>
      <w:pPr>
        <w:spacing w:after="60" w:before="60"/>
      </w:pPr>
    </w:p>
    <w:p>
      <w:pPr>
        <w:spacing w:after="100" w:before="80"/>
        <w:jc w:val="both"/>
      </w:pPr>
      <w:r>
        <w:rPr>
          <w:rFonts w:ascii="Arial" w:cs="Arial" w:eastAsia="Arial" w:hAnsi="Arial"/>
          <w:sz w:val="22"/>
          <w:szCs w:val="22"/>
        </w:rPr>
        <w:t xml:space="preserve">El hallazgo más relevante es que el clúster Pre_C0 (perfil estándar con extracurriculares) no tiene contraparte en Tec21 (distancia coseno = 0.794). Esto indica que bajo el modelo Tec21, este grupo se fragmenta en subperfiles distintos, posiblemente como efecto del nuevo modelo pedagógico que redistribuye a estudiantes con alta participación en actividades extracurriculares hacia diferentes perfiles de riesgo.</w:t>
      </w:r>
    </w:p>
    <w:p>
      <w:pPr>
        <w:spacing w:after="60" w:before="60"/>
      </w:pPr>
    </w:p>
    <w:p>
      <w:pPr>
        <w:pStyle w:val="Heading2"/>
        <w:spacing w:after="120" w:before="280"/>
      </w:pPr>
      <w:r>
        <w:rPr>
          <w:rFonts w:ascii="Arial" w:cs="Arial" w:eastAsia="Arial" w:hAnsi="Arial"/>
          <w:b/>
          <w:bCs/>
          <w:color w:val="1F5C8B"/>
          <w:sz w:val="26"/>
          <w:szCs w:val="26"/>
        </w:rPr>
        <w:t xml:space="preserve">2.1.4  Análisis de Errores e Invarianza de Predictores (SHAP)</w:t>
      </w:r>
    </w:p>
    <w:p>
      <w:pPr>
        <w:spacing w:after="100" w:before="80"/>
        <w:jc w:val="both"/>
      </w:pPr>
      <w:r>
        <w:rPr>
          <w:rFonts w:ascii="Arial" w:cs="Arial" w:eastAsia="Arial" w:hAnsi="Arial"/>
          <w:sz w:val="22"/>
          <w:szCs w:val="22"/>
        </w:rPr>
        <w:t xml:space="preserve">Para evaluar la estabilidad de las importancias predictivas entre regímenes, se entrenó un Random Forest por clúster y se calcularon valores SHAP mediante TreeExplainer. La invarianza se cuantifica mediante la correlación de Spearman (ρ) entre los vectores de importancia media |SHAP| de clústeres emparejados.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rPr>
          <w:tblHeader/>
        </w:trPr>
        <w:tc>
          <w:tcPr>
            <w:tcW w:type="dxa" w:w="14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Cluster</w:t>
            </w:r>
          </w:p>
        </w:tc>
        <w:tc>
          <w:tcPr>
            <w:tcW w:type="dxa" w:w="1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AUC PreTec21
(RF)</w:t>
            </w:r>
          </w:p>
        </w:tc>
        <w:tc>
          <w:tcPr>
            <w:tcW w:type="dxa" w:w="1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AUC Tec21
(RF cross-regime)</w:t>
            </w:r>
          </w:p>
        </w:tc>
        <w:tc>
          <w:tcPr>
            <w:tcW w:type="dxa" w:w="1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SHAP ρ (Spearman)</w:t>
            </w:r>
          </w:p>
        </w:tc>
        <w:tc>
          <w:tcPr>
            <w:tcW w:type="dxa" w:w="31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Observaciones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C0 (estándar)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0.618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0.333</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Mayor drift predictor; sin contraparte directa en Tec21</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 (primera gen.)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0.627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0.648</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3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Ligera mejora en Tec21; pesos SHAP parcialmente estables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C2 (alto apoyado)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0.631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0.667*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*Mejor AUC en Tec21; posible reorganización benéfica del perfil</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C3 (mayor riesgo)</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0.623</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0.688</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3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Más alta capacidad predictiva en Tec21; perfil más concentrado</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Global (todos)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0.654
[0.645,0.662]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0.644
[0.632,0.656]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0.973</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 invarianza global; heterogeneidad a nivel de clúster</w:t>
            </w:r>
          </w:p>
        </w:tc>
      </w:tr>
    </w:tbl>
    <w:p>
      <w:pPr>
        <w:spacing w:after="60" w:before="60"/>
      </w:pPr>
    </w:p>
    <w:p>
      <w:pPr>
        <w:pStyle w:val="ListParagraph"/>
        <w:numPr>
          <w:ilvl w:val="0"/>
          <w:numId w:val="2"/>
        </w:numPr>
        <w:spacing w:after="60" w:before="60"/>
      </w:pPr>
      <w:r>
        <w:rPr>
          <w:rFonts w:ascii="Arial" w:cs="Arial" w:eastAsia="Arial" w:hAnsi="Arial"/>
          <w:sz w:val="22"/>
          <w:szCs w:val="22"/>
        </w:rPr>
        <w:t xml:space="preserve">Invarianza global: ρ = 0.973 indica alta estabilidad del ranking de importancias de variables a nivel de toda la población, lo que constituye evidencia fuerte de invarianza del perfil de deserción agregado.</w:t>
      </w:r>
    </w:p>
    <w:p>
      <w:pPr>
        <w:pStyle w:val="ListParagraph"/>
        <w:numPr>
          <w:ilvl w:val="0"/>
          <w:numId w:val="2"/>
        </w:numPr>
        <w:spacing w:after="60" w:before="60"/>
      </w:pPr>
      <w:r>
        <w:rPr>
          <w:rFonts w:ascii="Arial" w:cs="Arial" w:eastAsia="Arial" w:hAnsi="Arial"/>
          <w:sz w:val="22"/>
          <w:szCs w:val="22"/>
        </w:rPr>
        <w:t xml:space="preserve">Heterogeneidad entre clústeres: los clústeres C0 (ρ = 0.333) y C1 presentan instabilidad significativa en los pesos SHAP, indicando que aunque el perfil demográfico persiste, las variables que mejor predicen la deserción cambian entre PreTec21 y Tec21 para estos segmentos.</w:t>
      </w:r>
    </w:p>
    <w:p>
      <w:pPr>
        <w:pStyle w:val="ListParagraph"/>
        <w:numPr>
          <w:ilvl w:val="0"/>
          <w:numId w:val="2"/>
        </w:numPr>
        <w:spacing w:after="60" w:before="60"/>
      </w:pPr>
      <w:r>
        <w:rPr>
          <w:rFonts w:ascii="Arial" w:cs="Arial" w:eastAsia="Arial" w:hAnsi="Arial"/>
          <w:sz w:val="22"/>
          <w:szCs w:val="22"/>
        </w:rPr>
        <w:t xml:space="preserve">Las variables más estables globalmente: PNA (aparece en top-3 de todos los clústeres), apoyo_financiero y first_gen_enc muestran mayor estabilidad en clústeres de alto riesgo (C3) que en clústeres estándar.</w:t>
      </w:r>
    </w:p>
    <w:p>
      <w:pPr>
        <w:spacing w:after="60" w:before="60"/>
      </w:pPr>
    </w:p>
    <w:p>
      <w:pPr>
        <w:pStyle w:val="Heading3"/>
        <w:spacing w:after="100" w:before="200"/>
      </w:pPr>
      <w:r>
        <w:rPr>
          <w:rFonts w:ascii="Arial" w:cs="Arial" w:eastAsia="Arial" w:hAnsi="Arial"/>
          <w:b/>
          <w:bCs/>
          <w:color w:val="333333"/>
          <w:sz w:val="24"/>
          <w:szCs w:val="24"/>
        </w:rPr>
        <w:t xml:space="preserve">Limitaciones del Módulo de Clustering</w:t>
      </w:r>
    </w:p>
    <w:p>
      <w:pPr>
        <w:pStyle w:val="ListParagraph"/>
        <w:numPr>
          <w:ilvl w:val="0"/>
          <w:numId w:val="2"/>
        </w:numPr>
        <w:spacing w:after="60" w:before="60"/>
      </w:pPr>
      <w:r>
        <w:rPr>
          <w:rFonts w:ascii="Arial" w:cs="Arial" w:eastAsia="Arial" w:hAnsi="Arial"/>
          <w:sz w:val="22"/>
          <w:szCs w:val="22"/>
        </w:rPr>
        <w:t xml:space="preserve">El Silhouette moderado (0.177) limita la claridad de los perfiles; los clústeres tienen solapamiento en el espacio de características.</w:t>
      </w:r>
    </w:p>
    <w:p>
      <w:pPr>
        <w:pStyle w:val="ListParagraph"/>
        <w:numPr>
          <w:ilvl w:val="0"/>
          <w:numId w:val="2"/>
        </w:numPr>
        <w:spacing w:after="60" w:before="60"/>
      </w:pPr>
      <w:r>
        <w:rPr>
          <w:rFonts w:ascii="Arial" w:cs="Arial" w:eastAsia="Arial" w:hAnsi="Arial"/>
          <w:sz w:val="22"/>
          <w:szCs w:val="22"/>
        </w:rPr>
        <w:t xml:space="preserve">K-Means asume clusters esféricos de tamaño similar; la distribución real puede tener formas irregulares.</w:t>
      </w:r>
    </w:p>
    <w:p>
      <w:pPr>
        <w:pStyle w:val="ListParagraph"/>
        <w:numPr>
          <w:ilvl w:val="0"/>
          <w:numId w:val="2"/>
        </w:numPr>
        <w:spacing w:after="60" w:before="60"/>
      </w:pPr>
      <w:r>
        <w:rPr>
          <w:rFonts w:ascii="Arial" w:cs="Arial" w:eastAsia="Arial" w:hAnsi="Arial"/>
          <w:sz w:val="22"/>
          <w:szCs w:val="22"/>
        </w:rPr>
        <w:t xml:space="preserve">El match de clústeres via distancia coseno es una aproximación; no captura correspondencias no lineales entre perfiles.</w:t>
      </w:r>
    </w:p>
    <w:p>
      <w:pPr>
        <w:pStyle w:val="ListParagraph"/>
        <w:numPr>
          <w:ilvl w:val="0"/>
          <w:numId w:val="2"/>
        </w:numPr>
        <w:spacing w:after="60" w:before="60"/>
      </w:pPr>
      <w:r>
        <w:rPr>
          <w:rFonts w:ascii="Arial" w:cs="Arial" w:eastAsia="Arial" w:hAnsi="Arial"/>
          <w:sz w:val="22"/>
          <w:szCs w:val="22"/>
        </w:rPr>
        <w:t xml:space="preserve">Los AUC por clúster (0.62–0.69) son moderados, lo que indica que aun dentro de segmentos homogéneos, la deserción es difícil de predecir con las variables disponibles.</w:t>
      </w:r>
    </w:p>
    <w:p>
      <w:pPr>
        <w:spacing w:after="60" w:before="60"/>
      </w:pPr>
    </w:p>
    <w:p>
      <w:r>
        <w:br w:type="page"/>
      </w:r>
    </w:p>
    <w:p>
      <w:pPr>
        <w:pStyle w:val="Heading1"/>
        <w:spacing w:after="180" w:before="360"/>
      </w:pPr>
      <w:r>
        <w:rPr>
          <w:rFonts w:ascii="Arial" w:cs="Arial" w:eastAsia="Arial" w:hAnsi="Arial"/>
          <w:b/>
          <w:bCs/>
          <w:color w:val="1F5C8B"/>
          <w:sz w:val="32"/>
          <w:szCs w:val="32"/>
        </w:rPr>
        <w:t xml:space="preserve">2.1  Aproximación 2: Modelos Supervisados de Clasificación</w:t>
      </w:r>
    </w:p>
    <w:p>
      <w:pPr>
        <w:pBdr>
          <w:bottom w:val="single" w:color="1F5C8B" w:sz="4" w:space="1"/>
        </w:pBdr>
        <w:spacing w:after="120" w:before="120"/>
      </w:pPr>
    </w:p>
    <w:p>
      <w:pPr>
        <w:pStyle w:val="Heading2"/>
        <w:spacing w:after="120" w:before="280"/>
      </w:pPr>
      <w:r>
        <w:rPr>
          <w:rFonts w:ascii="Arial" w:cs="Arial" w:eastAsia="Arial" w:hAnsi="Arial"/>
          <w:b/>
          <w:bCs/>
          <w:color w:val="1F5C8B"/>
          <w:sz w:val="26"/>
          <w:szCs w:val="26"/>
        </w:rPr>
        <w:t xml:space="preserve">2.1.5  Especificación de los Modelos</w:t>
      </w:r>
    </w:p>
    <w:p>
      <w:pPr>
        <w:spacing w:after="100" w:before="80"/>
        <w:jc w:val="both"/>
      </w:pPr>
      <w:r>
        <w:rPr>
          <w:rFonts w:ascii="Arial" w:cs="Arial" w:eastAsia="Arial" w:hAnsi="Arial"/>
          <w:sz w:val="22"/>
          <w:szCs w:val="22"/>
        </w:rPr>
        <w:t xml:space="preserve">Se entrenaron cuatro modelos supervisados de clasificación binaria (desertor / retenido) sobre el conjunto de entrenamiento PreTec21 y evaluados en Tec21 como prueba de transferibilidad cross-regime. Esta configuración de evaluación es deliberada: simula el escenario real de un sistema entrenado con datos históricos que debe generalizar ante un cambio pedagógico.</w:t>
      </w:r>
    </w:p>
    <w:p>
      <w:pPr>
        <w:spacing w:after="60" w:before="60"/>
      </w:pPr>
    </w:p>
    <w:p>
      <w:pPr>
        <w:pStyle w:val="Heading3"/>
        <w:spacing w:after="100" w:before="200"/>
      </w:pPr>
      <w:r>
        <w:rPr>
          <w:rFonts w:ascii="Arial" w:cs="Arial" w:eastAsia="Arial" w:hAnsi="Arial"/>
          <w:b/>
          <w:bCs/>
          <w:color w:val="333333"/>
          <w:sz w:val="24"/>
          <w:szCs w:val="24"/>
        </w:rPr>
        <w:t xml:space="preserve">Diseño del Pipeline Supervisado</w:t>
      </w:r>
    </w:p>
    <w:p>
      <w:pPr>
        <w:spacing w:after="60" w:before="60"/>
        <w:jc w:val="left"/>
      </w:pPr>
      <w:r>
        <w:rPr>
          <w:rFonts w:ascii="Arial" w:cs="Arial" w:eastAsia="Arial" w:hAnsi="Arial"/>
          <w:b/>
          <w:bCs/>
          <w:sz w:val="22"/>
          <w:szCs w:val="22"/>
        </w:rPr>
        <w:t xml:space="preserve">Partición temporal: </w:t>
      </w:r>
      <w:r>
        <w:rPr>
          <w:rFonts w:ascii="Arial" w:cs="Arial" w:eastAsia="Arial" w:hAnsi="Arial"/>
          <w:sz w:val="22"/>
          <w:szCs w:val="22"/>
        </w:rPr>
        <w:t xml:space="preserve">PreTec21 (AD14–AD18) → entrenamiento / Tec21 (AD19–AD20) → prueba cross-regime</w:t>
      </w:r>
    </w:p>
    <w:p>
      <w:pPr>
        <w:spacing w:after="60" w:before="60"/>
        <w:jc w:val="left"/>
      </w:pPr>
      <w:r>
        <w:rPr>
          <w:rFonts w:ascii="Arial" w:cs="Arial" w:eastAsia="Arial" w:hAnsi="Arial"/>
          <w:b/>
          <w:bCs/>
          <w:sz w:val="22"/>
          <w:szCs w:val="22"/>
        </w:rPr>
        <w:t xml:space="preserve">Partición holdout (PreTec21): </w:t>
      </w:r>
      <w:r>
        <w:rPr>
          <w:rFonts w:ascii="Arial" w:cs="Arial" w:eastAsia="Arial" w:hAnsi="Arial"/>
          <w:sz w:val="22"/>
          <w:szCs w:val="22"/>
        </w:rPr>
        <w:t xml:space="preserve">80% entrenamiento (42,408 est.) / 20% prueba (10,602 est.)</w:t>
      </w:r>
    </w:p>
    <w:p>
      <w:pPr>
        <w:spacing w:after="60" w:before="60"/>
        <w:jc w:val="left"/>
      </w:pPr>
      <w:r>
        <w:rPr>
          <w:rFonts w:ascii="Arial" w:cs="Arial" w:eastAsia="Arial" w:hAnsi="Arial"/>
          <w:b/>
          <w:bCs/>
          <w:sz w:val="22"/>
          <w:szCs w:val="22"/>
        </w:rPr>
        <w:t xml:space="preserve">Validación cruzada: </w:t>
      </w:r>
      <w:r>
        <w:rPr>
          <w:rFonts w:ascii="Arial" w:cs="Arial" w:eastAsia="Arial" w:hAnsi="Arial"/>
          <w:sz w:val="22"/>
          <w:szCs w:val="22"/>
        </w:rPr>
        <w:t xml:space="preserve">5-fold StratifiedKFold sobre conjunto de entrenamiento PreTec21</w:t>
      </w:r>
    </w:p>
    <w:p>
      <w:pPr>
        <w:spacing w:after="60" w:before="60"/>
        <w:jc w:val="left"/>
      </w:pPr>
      <w:r>
        <w:rPr>
          <w:rFonts w:ascii="Arial" w:cs="Arial" w:eastAsia="Arial" w:hAnsi="Arial"/>
          <w:b/>
          <w:bCs/>
          <w:sz w:val="22"/>
          <w:szCs w:val="22"/>
        </w:rPr>
        <w:t xml:space="preserve">Desbalance de clases: </w:t>
      </w:r>
      <w:r>
        <w:rPr>
          <w:rFonts w:ascii="Arial" w:cs="Arial" w:eastAsia="Arial" w:hAnsi="Arial"/>
          <w:sz w:val="22"/>
          <w:szCs w:val="22"/>
        </w:rPr>
        <w:t xml:space="preserve">Proporción 91.2% retenidos / 8.8% desertores → ratio ~10.3:1</w:t>
      </w:r>
    </w:p>
    <w:p>
      <w:pPr>
        <w:spacing w:after="60" w:before="60"/>
        <w:jc w:val="left"/>
      </w:pPr>
      <w:r>
        <w:rPr>
          <w:rFonts w:ascii="Arial" w:cs="Arial" w:eastAsia="Arial" w:hAnsi="Arial"/>
          <w:b/>
          <w:bCs/>
          <w:sz w:val="22"/>
          <w:szCs w:val="22"/>
        </w:rPr>
        <w:t xml:space="preserve">Manejo del desbalance: </w:t>
      </w:r>
      <w:r>
        <w:rPr>
          <w:rFonts w:ascii="Arial" w:cs="Arial" w:eastAsia="Arial" w:hAnsi="Arial"/>
          <w:sz w:val="22"/>
          <w:szCs w:val="22"/>
        </w:rPr>
        <w:t xml:space="preserve">class_weight="balanced" (LR, DT, RF); scale_pos_weight=10.3 (XGB)</w:t>
      </w:r>
    </w:p>
    <w:p>
      <w:pPr>
        <w:spacing w:after="60" w:before="60"/>
        <w:jc w:val="left"/>
      </w:pPr>
      <w:r>
        <w:rPr>
          <w:rFonts w:ascii="Arial" w:cs="Arial" w:eastAsia="Arial" w:hAnsi="Arial"/>
          <w:b/>
          <w:bCs/>
          <w:sz w:val="22"/>
          <w:szCs w:val="22"/>
        </w:rPr>
        <w:t xml:space="preserve">Optimización de umbral: </w:t>
      </w:r>
      <w:r>
        <w:rPr>
          <w:rFonts w:ascii="Arial" w:cs="Arial" w:eastAsia="Arial" w:hAnsi="Arial"/>
          <w:sz w:val="22"/>
          <w:szCs w:val="22"/>
        </w:rPr>
        <w:t xml:space="preserve">Out-of-Fold (OOF) con StratifiedKFold-3; umbral seleccionado por máximo F1 en PR curve</w:t>
      </w:r>
    </w:p>
    <w:p>
      <w:pPr>
        <w:spacing w:after="60" w:before="60"/>
        <w:jc w:val="left"/>
      </w:pPr>
      <w:r>
        <w:rPr>
          <w:rFonts w:ascii="Arial" w:cs="Arial" w:eastAsia="Arial" w:hAnsi="Arial"/>
          <w:b/>
          <w:bCs/>
          <w:sz w:val="22"/>
          <w:szCs w:val="22"/>
        </w:rPr>
        <w:t xml:space="preserve">Intervalo de confianza AUC: </w:t>
      </w:r>
      <w:r>
        <w:rPr>
          <w:rFonts w:ascii="Arial" w:cs="Arial" w:eastAsia="Arial" w:hAnsi="Arial"/>
          <w:sz w:val="22"/>
          <w:szCs w:val="22"/>
        </w:rPr>
        <w:t xml:space="preserve">Bootstrap con n=200 remuestreos; IC al 95% (percentiles 2.5 y 97.5)</w:t>
      </w:r>
    </w:p>
    <w:p>
      <w:pPr>
        <w:spacing w:after="60" w:before="60"/>
      </w:pPr>
    </w:p>
    <w:p>
      <w:pPr>
        <w:pStyle w:val="Heading3"/>
        <w:spacing w:after="100" w:before="200"/>
      </w:pPr>
      <w:r>
        <w:rPr>
          <w:rFonts w:ascii="Arial" w:cs="Arial" w:eastAsia="Arial" w:hAnsi="Arial"/>
          <w:b/>
          <w:bCs/>
          <w:color w:val="333333"/>
          <w:sz w:val="24"/>
          <w:szCs w:val="24"/>
        </w:rPr>
        <w:t xml:space="preserve">Features Supervisados</w:t>
      </w:r>
    </w:p>
    <w:p>
      <w:pPr>
        <w:spacing w:after="100" w:before="80"/>
        <w:jc w:val="both"/>
      </w:pPr>
      <w:r>
        <w:rPr>
          <w:rFonts w:ascii="Arial" w:cs="Arial" w:eastAsia="Arial" w:hAnsi="Arial"/>
          <w:sz w:val="22"/>
          <w:szCs w:val="22"/>
        </w:rPr>
        <w:t xml:space="preserve">El vector de características para los modelos supervisados extiende el vector de clustering con variables adicionales de comportamiento y contexto:</w:t>
      </w:r>
    </w:p>
    <w:p>
      <w:pPr>
        <w:pStyle w:val="ListParagraph"/>
        <w:numPr>
          <w:ilvl w:val="0"/>
          <w:numId w:val="2"/>
        </w:numPr>
        <w:spacing w:after="60" w:before="60"/>
      </w:pPr>
      <w:r>
        <w:rPr>
          <w:rFonts w:ascii="Arial" w:cs="Arial" w:eastAsia="Arial" w:hAnsi="Arial"/>
          <w:sz w:val="22"/>
          <w:szCs w:val="22"/>
        </w:rPr>
        <w:t xml:space="preserve">PNA, admission_test_norm, english.evaluation, admission.rubric, general.math.knowledge</w:t>
      </w:r>
    </w:p>
    <w:p>
      <w:pPr>
        <w:pStyle w:val="ListParagraph"/>
        <w:numPr>
          <w:ilvl w:val="0"/>
          <w:numId w:val="2"/>
        </w:numPr>
        <w:spacing w:after="60" w:before="60"/>
      </w:pPr>
      <w:r>
        <w:rPr>
          <w:rFonts w:ascii="Arial" w:cs="Arial" w:eastAsia="Arial" w:hAnsi="Arial"/>
          <w:sz w:val="22"/>
          <w:szCs w:val="22"/>
        </w:rPr>
        <w:t xml:space="preserve">apoyo_financiero, first_gen_enc, educ_padres_max, socioec_enc, social_lag_enc</w:t>
      </w:r>
    </w:p>
    <w:p>
      <w:pPr>
        <w:pStyle w:val="ListParagraph"/>
        <w:numPr>
          <w:ilvl w:val="0"/>
          <w:numId w:val="2"/>
        </w:numPr>
        <w:spacing w:after="60" w:before="60"/>
      </w:pPr>
      <w:r>
        <w:rPr>
          <w:rFonts w:ascii="Arial" w:cs="Arial" w:eastAsia="Arial" w:hAnsi="Arial"/>
          <w:sz w:val="22"/>
          <w:szCs w:val="22"/>
        </w:rPr>
        <w:t xml:space="preserve">has_extracurriculars, is_male, school_enc, region_enc</w:t>
      </w:r>
    </w:p>
    <w:p>
      <w:pPr>
        <w:pStyle w:val="ListParagraph"/>
        <w:numPr>
          <w:ilvl w:val="0"/>
          <w:numId w:val="2"/>
        </w:numPr>
        <w:spacing w:after="60" w:before="60"/>
      </w:pPr>
      <w:r>
        <w:rPr>
          <w:rFonts w:ascii="Arial" w:cs="Arial" w:eastAsia="Arial" w:hAnsi="Arial"/>
          <w:sz w:val="22"/>
          <w:szCs w:val="22"/>
        </w:rPr>
        <w:t xml:space="preserve">Variables dummy de zona geográfica (foreign, zone.type)</w:t>
      </w:r>
    </w:p>
    <w:p>
      <w:pPr>
        <w:spacing w:after="60" w:before="60"/>
      </w:pPr>
    </w:p>
    <w:p>
      <w:pPr>
        <w:pStyle w:val="Heading2"/>
        <w:spacing w:after="120" w:before="280"/>
      </w:pPr>
      <w:r>
        <w:rPr>
          <w:rFonts w:ascii="Arial" w:cs="Arial" w:eastAsia="Arial" w:hAnsi="Arial"/>
          <w:b/>
          <w:bCs/>
          <w:color w:val="1F5C8B"/>
          <w:sz w:val="26"/>
          <w:szCs w:val="26"/>
        </w:rPr>
        <w:t xml:space="preserve">2.1.6  Hiperparámetros y Proceso de Selección</w:t>
      </w:r>
    </w:p>
    <w:p>
      <w:pPr>
        <w:pStyle w:val="Heading3"/>
        <w:spacing w:after="100" w:before="200"/>
      </w:pPr>
      <w:r>
        <w:rPr>
          <w:rFonts w:ascii="Arial" w:cs="Arial" w:eastAsia="Arial" w:hAnsi="Arial"/>
          <w:b/>
          <w:bCs/>
          <w:color w:val="333333"/>
          <w:sz w:val="24"/>
          <w:szCs w:val="24"/>
        </w:rPr>
        <w:t xml:space="preserve">Regresión Logística</w:t>
      </w:r>
    </w:p>
    <w:p>
      <w:pPr>
        <w:spacing w:after="60" w:before="60"/>
        <w:jc w:val="left"/>
      </w:pPr>
      <w:r>
        <w:rPr>
          <w:rFonts w:ascii="Arial" w:cs="Arial" w:eastAsia="Arial" w:hAnsi="Arial"/>
          <w:b/>
          <w:bCs/>
          <w:sz w:val="22"/>
          <w:szCs w:val="22"/>
        </w:rPr>
        <w:t xml:space="preserve">solver: </w:t>
      </w:r>
      <w:r>
        <w:rPr>
          <w:rFonts w:ascii="Arial" w:cs="Arial" w:eastAsia="Arial" w:hAnsi="Arial"/>
          <w:sz w:val="22"/>
          <w:szCs w:val="22"/>
        </w:rPr>
        <w:t xml:space="preserve">lbfgs (estable para problemas pequeños a medianos)</w:t>
      </w:r>
    </w:p>
    <w:p>
      <w:pPr>
        <w:spacing w:after="60" w:before="60"/>
        <w:jc w:val="left"/>
      </w:pPr>
      <w:r>
        <w:rPr>
          <w:rFonts w:ascii="Arial" w:cs="Arial" w:eastAsia="Arial" w:hAnsi="Arial"/>
          <w:b/>
          <w:bCs/>
          <w:sz w:val="22"/>
          <w:szCs w:val="22"/>
        </w:rPr>
        <w:t xml:space="preserve">max_iter: </w:t>
      </w:r>
      <w:r>
        <w:rPr>
          <w:rFonts w:ascii="Arial" w:cs="Arial" w:eastAsia="Arial" w:hAnsi="Arial"/>
          <w:sz w:val="22"/>
          <w:szCs w:val="22"/>
        </w:rPr>
        <w:t xml:space="preserve">2000 (convergencia garantizada con datos estandarizados)</w:t>
      </w:r>
    </w:p>
    <w:p>
      <w:pPr>
        <w:spacing w:after="60" w:before="60"/>
        <w:jc w:val="left"/>
      </w:pPr>
      <w:r>
        <w:rPr>
          <w:rFonts w:ascii="Arial" w:cs="Arial" w:eastAsia="Arial" w:hAnsi="Arial"/>
          <w:b/>
          <w:bCs/>
          <w:sz w:val="22"/>
          <w:szCs w:val="22"/>
        </w:rPr>
        <w:t xml:space="preserve">class_weight: </w:t>
      </w:r>
      <w:r>
        <w:rPr>
          <w:rFonts w:ascii="Arial" w:cs="Arial" w:eastAsia="Arial" w:hAnsi="Arial"/>
          <w:sz w:val="22"/>
          <w:szCs w:val="22"/>
        </w:rPr>
        <w:t xml:space="preserve">balanced</w:t>
      </w:r>
    </w:p>
    <w:p>
      <w:pPr>
        <w:spacing w:after="60" w:before="60"/>
        <w:jc w:val="left"/>
      </w:pPr>
      <w:r>
        <w:rPr>
          <w:rFonts w:ascii="Arial" w:cs="Arial" w:eastAsia="Arial" w:hAnsi="Arial"/>
          <w:b/>
          <w:bCs/>
          <w:sz w:val="22"/>
          <w:szCs w:val="22"/>
        </w:rPr>
        <w:t xml:space="preserve">C (regularización): </w:t>
      </w:r>
      <w:r>
        <w:rPr>
          <w:rFonts w:ascii="Arial" w:cs="Arial" w:eastAsia="Arial" w:hAnsi="Arial"/>
          <w:sz w:val="22"/>
          <w:szCs w:val="22"/>
        </w:rPr>
        <w:t xml:space="preserve">1.0 (default; no se optimizó dado que sirve como baseline)</w:t>
      </w:r>
    </w:p>
    <w:p>
      <w:pPr>
        <w:spacing w:after="100" w:before="80"/>
        <w:jc w:val="both"/>
      </w:pPr>
      <w:r>
        <w:rPr>
          <w:rFonts w:ascii="Arial" w:cs="Arial" w:eastAsia="Arial" w:hAnsi="Arial"/>
          <w:sz w:val="22"/>
          <w:szCs w:val="22"/>
        </w:rPr>
        <w:t xml:space="preserve">La Regresión Logística fue tratada como baseline interpretable. No se aplicó RandomizedSearchCV dado su rol referencial.</w:t>
      </w:r>
    </w:p>
    <w:p>
      <w:pPr>
        <w:spacing w:after="60" w:before="60"/>
      </w:pPr>
    </w:p>
    <w:p>
      <w:pPr>
        <w:pStyle w:val="Heading3"/>
        <w:spacing w:after="100" w:before="200"/>
      </w:pPr>
      <w:r>
        <w:rPr>
          <w:rFonts w:ascii="Arial" w:cs="Arial" w:eastAsia="Arial" w:hAnsi="Arial"/>
          <w:b/>
          <w:bCs/>
          <w:color w:val="333333"/>
          <w:sz w:val="24"/>
          <w:szCs w:val="24"/>
        </w:rPr>
        <w:t xml:space="preserve">Árbol de Decisión</w:t>
      </w:r>
    </w:p>
    <w:p>
      <w:pPr>
        <w:spacing w:after="60" w:before="60"/>
        <w:jc w:val="left"/>
      </w:pPr>
      <w:r>
        <w:rPr>
          <w:rFonts w:ascii="Arial" w:cs="Arial" w:eastAsia="Arial" w:hAnsi="Arial"/>
          <w:b/>
          <w:bCs/>
          <w:sz w:val="22"/>
          <w:szCs w:val="22"/>
        </w:rPr>
        <w:t xml:space="preserve">max_depth: </w:t>
      </w:r>
      <w:r>
        <w:rPr>
          <w:rFonts w:ascii="Arial" w:cs="Arial" w:eastAsia="Arial" w:hAnsi="Arial"/>
          <w:sz w:val="22"/>
          <w:szCs w:val="22"/>
        </w:rPr>
        <w:t xml:space="preserve">5 (seleccionado mediante grid search: depths {3, 4, 5, 6, 8})</w:t>
      </w:r>
    </w:p>
    <w:p>
      <w:pPr>
        <w:spacing w:after="60" w:before="60"/>
        <w:jc w:val="left"/>
      </w:pPr>
      <w:r>
        <w:rPr>
          <w:rFonts w:ascii="Arial" w:cs="Arial" w:eastAsia="Arial" w:hAnsi="Arial"/>
          <w:b/>
          <w:bCs/>
          <w:sz w:val="22"/>
          <w:szCs w:val="22"/>
        </w:rPr>
        <w:t xml:space="preserve">class_weight: </w:t>
      </w:r>
      <w:r>
        <w:rPr>
          <w:rFonts w:ascii="Arial" w:cs="Arial" w:eastAsia="Arial" w:hAnsi="Arial"/>
          <w:sz w:val="22"/>
          <w:szCs w:val="22"/>
        </w:rPr>
        <w:t xml:space="preserve">balanced</w:t>
      </w:r>
    </w:p>
    <w:p>
      <w:pPr>
        <w:spacing w:after="60" w:before="60"/>
        <w:jc w:val="left"/>
      </w:pPr>
      <w:r>
        <w:rPr>
          <w:rFonts w:ascii="Arial" w:cs="Arial" w:eastAsia="Arial" w:hAnsi="Arial"/>
          <w:b/>
          <w:bCs/>
          <w:sz w:val="22"/>
          <w:szCs w:val="22"/>
        </w:rPr>
        <w:t xml:space="preserve">criterion: </w:t>
      </w:r>
      <w:r>
        <w:rPr>
          <w:rFonts w:ascii="Arial" w:cs="Arial" w:eastAsia="Arial" w:hAnsi="Arial"/>
          <w:sz w:val="22"/>
          <w:szCs w:val="22"/>
        </w:rPr>
        <w:t xml:space="preserve">gini</w:t>
      </w:r>
    </w:p>
    <w:p>
      <w:pPr>
        <w:spacing w:after="60" w:before="60"/>
        <w:jc w:val="left"/>
      </w:pPr>
      <w:r>
        <w:rPr>
          <w:rFonts w:ascii="Arial" w:cs="Arial" w:eastAsia="Arial" w:hAnsi="Arial"/>
          <w:b/>
          <w:bCs/>
          <w:sz w:val="22"/>
          <w:szCs w:val="22"/>
        </w:rPr>
        <w:t xml:space="preserve">random_state: </w:t>
      </w:r>
      <w:r>
        <w:rPr>
          <w:rFonts w:ascii="Arial" w:cs="Arial" w:eastAsia="Arial" w:hAnsi="Arial"/>
          <w:sz w:val="22"/>
          <w:szCs w:val="22"/>
        </w:rPr>
        <w:t xml:space="preserve">42</w:t>
      </w:r>
    </w:p>
    <w:p>
      <w:pPr>
        <w:spacing w:after="100" w:before="80"/>
        <w:jc w:val="both"/>
      </w:pPr>
      <w:r>
        <w:rPr>
          <w:rFonts w:ascii="Arial" w:cs="Arial" w:eastAsia="Arial" w:hAnsi="Arial"/>
          <w:sz w:val="22"/>
          <w:szCs w:val="22"/>
        </w:rPr>
        <w:t xml:space="preserve">El grid de profundidades reveló: depth=5 → CV AUC=0.652, depth=4 → 0.646, depth=6 → 0.649 (degradación leve por overfitting). Se seleccionó depth=5 por mayor generalización.</w:t>
      </w:r>
    </w:p>
    <w:p>
      <w:pPr>
        <w:spacing w:after="60" w:before="60"/>
      </w:pPr>
    </w:p>
    <w:p>
      <w:pPr>
        <w:pStyle w:val="Heading3"/>
        <w:spacing w:after="100" w:before="200"/>
      </w:pPr>
      <w:r>
        <w:rPr>
          <w:rFonts w:ascii="Arial" w:cs="Arial" w:eastAsia="Arial" w:hAnsi="Arial"/>
          <w:b/>
          <w:bCs/>
          <w:color w:val="333333"/>
          <w:sz w:val="24"/>
          <w:szCs w:val="24"/>
        </w:rPr>
        <w:t xml:space="preserve">Random Forest (Hiperparámetros Optimizados via RandomizedSearchCV)</w:t>
      </w:r>
    </w:p>
    <w:p>
      <w:pPr>
        <w:spacing w:after="60" w:before="60"/>
        <w:jc w:val="left"/>
      </w:pPr>
      <w:r>
        <w:rPr>
          <w:rFonts w:ascii="Arial" w:cs="Arial" w:eastAsia="Arial" w:hAnsi="Arial"/>
          <w:b/>
          <w:bCs/>
          <w:sz w:val="22"/>
          <w:szCs w:val="22"/>
        </w:rPr>
        <w:t xml:space="preserve">Espacio de búsqueda: </w:t>
      </w:r>
      <w:r>
        <w:rPr>
          <w:rFonts w:ascii="Arial" w:cs="Arial" w:eastAsia="Arial" w:hAnsi="Arial"/>
          <w:sz w:val="22"/>
          <w:szCs w:val="22"/>
        </w:rPr>
        <w:t xml:space="preserve">n_estimators ∈ {100,200,300,400}; max_depth ∈ {4,6,8,10}; min_samples_leaf ∈ {5,10,20}; max_features ∈ {sqrt, log2}</w:t>
      </w:r>
    </w:p>
    <w:p>
      <w:pPr>
        <w:spacing w:after="60" w:before="60"/>
        <w:jc w:val="left"/>
      </w:pPr>
      <w:r>
        <w:rPr>
          <w:rFonts w:ascii="Arial" w:cs="Arial" w:eastAsia="Arial" w:hAnsi="Arial"/>
          <w:b/>
          <w:bCs/>
          <w:sz w:val="22"/>
          <w:szCs w:val="22"/>
        </w:rPr>
        <w:t xml:space="preserve">n_iter: </w:t>
      </w:r>
      <w:r>
        <w:rPr>
          <w:rFonts w:ascii="Arial" w:cs="Arial" w:eastAsia="Arial" w:hAnsi="Arial"/>
          <w:sz w:val="22"/>
          <w:szCs w:val="22"/>
        </w:rPr>
        <w:t xml:space="preserve">30 combinaciones aleatorias</w:t>
      </w:r>
    </w:p>
    <w:p>
      <w:pPr>
        <w:spacing w:after="60" w:before="60"/>
        <w:jc w:val="left"/>
      </w:pPr>
      <w:r>
        <w:rPr>
          <w:rFonts w:ascii="Arial" w:cs="Arial" w:eastAsia="Arial" w:hAnsi="Arial"/>
          <w:b/>
          <w:bCs/>
          <w:sz w:val="22"/>
          <w:szCs w:val="22"/>
        </w:rPr>
        <w:t xml:space="preserve">Métrica de optimización: </w:t>
      </w:r>
      <w:r>
        <w:rPr>
          <w:rFonts w:ascii="Arial" w:cs="Arial" w:eastAsia="Arial" w:hAnsi="Arial"/>
          <w:sz w:val="22"/>
          <w:szCs w:val="22"/>
        </w:rPr>
        <w:t xml:space="preserve">AUC-ROC (roc_auc)</w:t>
      </w:r>
    </w:p>
    <w:p>
      <w:pPr>
        <w:spacing w:after="60" w:before="60"/>
        <w:jc w:val="left"/>
      </w:pPr>
      <w:r>
        <w:rPr>
          <w:rFonts w:ascii="Arial" w:cs="Arial" w:eastAsia="Arial" w:hAnsi="Arial"/>
          <w:b/>
          <w:bCs/>
          <w:sz w:val="22"/>
          <w:szCs w:val="22"/>
        </w:rPr>
        <w:t xml:space="preserve">CV interna: </w:t>
      </w:r>
      <w:r>
        <w:rPr>
          <w:rFonts w:ascii="Arial" w:cs="Arial" w:eastAsia="Arial" w:hAnsi="Arial"/>
          <w:sz w:val="22"/>
          <w:szCs w:val="22"/>
        </w:rPr>
        <w:t xml:space="preserve">5-fold StratifiedKFold</w:t>
      </w:r>
    </w:p>
    <w:p>
      <w:pPr>
        <w:spacing w:after="60" w:before="60"/>
        <w:jc w:val="left"/>
      </w:pPr>
      <w:r>
        <w:rPr>
          <w:rFonts w:ascii="Arial" w:cs="Arial" w:eastAsia="Arial" w:hAnsi="Arial"/>
          <w:b/>
          <w:bCs/>
          <w:sz w:val="22"/>
          <w:szCs w:val="22"/>
        </w:rPr>
        <w:t xml:space="preserve">class_weight: </w:t>
      </w:r>
      <w:r>
        <w:rPr>
          <w:rFonts w:ascii="Arial" w:cs="Arial" w:eastAsia="Arial" w:hAnsi="Arial"/>
          <w:sz w:val="22"/>
          <w:szCs w:val="22"/>
        </w:rPr>
        <w:t xml:space="preserve">balanced</w:t>
      </w:r>
    </w:p>
    <w:p>
      <w:pPr>
        <w:spacing w:after="60" w:before="60"/>
        <w:jc w:val="left"/>
      </w:pPr>
      <w:r>
        <w:rPr>
          <w:rFonts w:ascii="Arial" w:cs="Arial" w:eastAsia="Arial" w:hAnsi="Arial"/>
          <w:b/>
          <w:bCs/>
          <w:sz w:val="22"/>
          <w:szCs w:val="22"/>
        </w:rPr>
        <w:t xml:space="preserve">random_state: </w:t>
      </w:r>
      <w:r>
        <w:rPr>
          <w:rFonts w:ascii="Arial" w:cs="Arial" w:eastAsia="Arial" w:hAnsi="Arial"/>
          <w:sz w:val="22"/>
          <w:szCs w:val="22"/>
        </w:rPr>
        <w:t xml:space="preserve">42; n_jobs=-1</w:t>
      </w:r>
    </w:p>
    <w:p>
      <w:pPr>
        <w:spacing w:after="100" w:before="80"/>
        <w:jc w:val="both"/>
      </w:pPr>
      <w:r>
        <w:rPr>
          <w:rFonts w:ascii="Arial" w:cs="Arial" w:eastAsia="Arial" w:hAnsi="Arial"/>
          <w:sz w:val="22"/>
          <w:szCs w:val="22"/>
        </w:rPr>
        <w:t xml:space="preserve">Los mejores hiperparámetros están disponibles en la celda 27 (9a) del notebook 02b tras ejecutar el RandomizedSearchCV. Los valores de referencia previos a la búsqueda: n_estimators=300, max_depth=8, min_samples_leaf=10 (usados en notebook 02).</w:t>
      </w:r>
    </w:p>
    <w:p>
      <w:pPr>
        <w:spacing w:after="60" w:before="60"/>
      </w:pPr>
    </w:p>
    <w:p>
      <w:pPr>
        <w:pStyle w:val="Heading3"/>
        <w:spacing w:after="100" w:before="200"/>
      </w:pPr>
      <w:r>
        <w:rPr>
          <w:rFonts w:ascii="Arial" w:cs="Arial" w:eastAsia="Arial" w:hAnsi="Arial"/>
          <w:b/>
          <w:bCs/>
          <w:color w:val="333333"/>
          <w:sz w:val="24"/>
          <w:szCs w:val="24"/>
        </w:rPr>
        <w:t xml:space="preserve">XGBoost (Hiperparámetros Optimizados via RandomizedSearchCV)</w:t>
      </w:r>
    </w:p>
    <w:p>
      <w:pPr>
        <w:spacing w:after="60" w:before="60"/>
        <w:jc w:val="left"/>
      </w:pPr>
      <w:r>
        <w:rPr>
          <w:rFonts w:ascii="Arial" w:cs="Arial" w:eastAsia="Arial" w:hAnsi="Arial"/>
          <w:b/>
          <w:bCs/>
          <w:sz w:val="22"/>
          <w:szCs w:val="22"/>
        </w:rPr>
        <w:t xml:space="preserve">Espacio de búsqueda: </w:t>
      </w:r>
      <w:r>
        <w:rPr>
          <w:rFonts w:ascii="Arial" w:cs="Arial" w:eastAsia="Arial" w:hAnsi="Arial"/>
          <w:sz w:val="22"/>
          <w:szCs w:val="22"/>
        </w:rPr>
        <w:t xml:space="preserve">n_estimators ∈ {100,200,300}; max_depth ∈ {3,5,7}; learning_rate ∈ {0.01,0.05,0.1}; subsample ∈ {0.7,0.8,0.9}; colsample_bytree ∈ {0.7,0.8,0.9}</w:t>
      </w:r>
    </w:p>
    <w:p>
      <w:pPr>
        <w:spacing w:after="60" w:before="60"/>
        <w:jc w:val="left"/>
      </w:pPr>
      <w:r>
        <w:rPr>
          <w:rFonts w:ascii="Arial" w:cs="Arial" w:eastAsia="Arial" w:hAnsi="Arial"/>
          <w:b/>
          <w:bCs/>
          <w:sz w:val="22"/>
          <w:szCs w:val="22"/>
        </w:rPr>
        <w:t xml:space="preserve">scale_pos_weight: </w:t>
      </w:r>
      <w:r>
        <w:rPr>
          <w:rFonts w:ascii="Arial" w:cs="Arial" w:eastAsia="Arial" w:hAnsi="Arial"/>
          <w:sz w:val="22"/>
          <w:szCs w:val="22"/>
        </w:rPr>
        <w:t xml:space="preserve">10.3 (= n_negativos / n_positivos en entrenamiento)</w:t>
      </w:r>
    </w:p>
    <w:p>
      <w:pPr>
        <w:spacing w:after="60" w:before="60"/>
        <w:jc w:val="left"/>
      </w:pPr>
      <w:r>
        <w:rPr>
          <w:rFonts w:ascii="Arial" w:cs="Arial" w:eastAsia="Arial" w:hAnsi="Arial"/>
          <w:b/>
          <w:bCs/>
          <w:sz w:val="22"/>
          <w:szCs w:val="22"/>
        </w:rPr>
        <w:t xml:space="preserve">eval_metric: </w:t>
      </w:r>
      <w:r>
        <w:rPr>
          <w:rFonts w:ascii="Arial" w:cs="Arial" w:eastAsia="Arial" w:hAnsi="Arial"/>
          <w:sz w:val="22"/>
          <w:szCs w:val="22"/>
        </w:rPr>
        <w:t xml:space="preserve">logloss</w:t>
      </w:r>
    </w:p>
    <w:p>
      <w:pPr>
        <w:spacing w:after="60" w:before="60"/>
        <w:jc w:val="left"/>
      </w:pPr>
      <w:r>
        <w:rPr>
          <w:rFonts w:ascii="Arial" w:cs="Arial" w:eastAsia="Arial" w:hAnsi="Arial"/>
          <w:b/>
          <w:bCs/>
          <w:sz w:val="22"/>
          <w:szCs w:val="22"/>
        </w:rPr>
        <w:t xml:space="preserve">n_iter: </w:t>
      </w:r>
      <w:r>
        <w:rPr>
          <w:rFonts w:ascii="Arial" w:cs="Arial" w:eastAsia="Arial" w:hAnsi="Arial"/>
          <w:sz w:val="22"/>
          <w:szCs w:val="22"/>
        </w:rPr>
        <w:t xml:space="preserve">30 combinaciones aleatorias</w:t>
      </w:r>
    </w:p>
    <w:p>
      <w:pPr>
        <w:spacing w:after="60" w:before="60"/>
        <w:jc w:val="left"/>
      </w:pPr>
      <w:r>
        <w:rPr>
          <w:rFonts w:ascii="Arial" w:cs="Arial" w:eastAsia="Arial" w:hAnsi="Arial"/>
          <w:b/>
          <w:bCs/>
          <w:sz w:val="22"/>
          <w:szCs w:val="22"/>
        </w:rPr>
        <w:t xml:space="preserve">CV interna: </w:t>
      </w:r>
      <w:r>
        <w:rPr>
          <w:rFonts w:ascii="Arial" w:cs="Arial" w:eastAsia="Arial" w:hAnsi="Arial"/>
          <w:sz w:val="22"/>
          <w:szCs w:val="22"/>
        </w:rPr>
        <w:t xml:space="preserve">5-fold StratifiedKFold</w:t>
      </w:r>
    </w:p>
    <w:p>
      <w:pPr>
        <w:spacing w:after="60" w:before="60"/>
        <w:jc w:val="left"/>
      </w:pPr>
      <w:r>
        <w:rPr>
          <w:rFonts w:ascii="Arial" w:cs="Arial" w:eastAsia="Arial" w:hAnsi="Arial"/>
          <w:b/>
          <w:bCs/>
          <w:sz w:val="22"/>
          <w:szCs w:val="22"/>
        </w:rPr>
        <w:t xml:space="preserve">Umbral OOF: </w:t>
      </w:r>
      <w:r>
        <w:rPr>
          <w:rFonts w:ascii="Arial" w:cs="Arial" w:eastAsia="Arial" w:hAnsi="Arial"/>
          <w:sz w:val="22"/>
          <w:szCs w:val="22"/>
        </w:rPr>
        <w:t xml:space="preserve">0.509 (calibración distinta al resto de modelos)</w:t>
      </w:r>
    </w:p>
    <w:p>
      <w:pPr>
        <w:spacing w:after="60" w:before="60"/>
      </w:pPr>
    </w:p>
    <w:p>
      <w:pPr>
        <w:pStyle w:val="Heading2"/>
        <w:spacing w:after="120" w:before="280"/>
      </w:pPr>
      <w:r>
        <w:rPr>
          <w:rFonts w:ascii="Arial" w:cs="Arial" w:eastAsia="Arial" w:hAnsi="Arial"/>
          <w:b/>
          <w:bCs/>
          <w:color w:val="1F5C8B"/>
          <w:sz w:val="26"/>
          <w:szCs w:val="26"/>
        </w:rPr>
        <w:t xml:space="preserve">2.1.7  Resultados de Validación con Intervalos de Confianza</w:t>
      </w:r>
    </w:p>
    <w:p>
      <w:pPr>
        <w:pStyle w:val="Heading3"/>
        <w:spacing w:after="100" w:before="200"/>
      </w:pPr>
      <w:r>
        <w:rPr>
          <w:rFonts w:ascii="Arial" w:cs="Arial" w:eastAsia="Arial" w:hAnsi="Arial"/>
          <w:b/>
          <w:bCs/>
          <w:color w:val="333333"/>
          <w:sz w:val="24"/>
          <w:szCs w:val="24"/>
        </w:rPr>
        <w:t xml:space="preserve">Validación Cruzada 5-fold (PreTec21)</w:t>
      </w:r>
    </w:p>
    <w:p>
      <w:pPr>
        <w:spacing w:after="100" w:before="80"/>
        <w:jc w:val="both"/>
      </w:pPr>
      <w:r>
        <w:rPr>
          <w:rFonts w:ascii="Arial" w:cs="Arial" w:eastAsia="Arial" w:hAnsi="Arial"/>
          <w:sz w:val="22"/>
          <w:szCs w:val="22"/>
        </w:rPr>
        <w:t xml:space="preserve">Los siguientes resultados corresponden a la validación cruzada sobre el conjunto de entrenamiento PreTec21. El AUC-ROC es consistente entre folds (desviación estándar &lt; 0.02), indicando estabilidad del aprendizaje.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760"/>
      </w:tblGrid>
      <w:tr>
        <w:trPr>
          <w:tblHeader/>
        </w:trPr>
        <w:tc>
          <w:tcPr>
            <w:tcW w:type="dxa" w:w="28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Modelo</w:t>
            </w:r>
          </w:p>
        </w:tc>
        <w:tc>
          <w:tcPr>
            <w:tcW w:type="dxa" w:w="22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CV AUC-ROC (media ± SD)</w:t>
            </w:r>
          </w:p>
        </w:tc>
        <w:tc>
          <w:tcPr>
            <w:tcW w:type="dxa" w:w="47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Interpretación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Regresión Logística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0.674 ± 0.017</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Baseline sólido; poca varianza entre folds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Árbol de Decisión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0.652 ± 0.014</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Menor AUC; mayor riesgo de sobreajuste a profundidad &gt;5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Random Forest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0.674 ± 0.018</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Mejor AUC global; similar a LR con mayor robustez al ruido</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XGBoost</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0.673 ± 0.016</w:t>
            </w:r>
          </w:p>
        </w:tc>
        <w:tc>
          <w:tcPr>
            <w:tcW w:type="dxa" w:w="4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Prácticamente empate con RF; umbral OOF ligeramente diferente (0.509 vs ~0.4x)</w:t>
            </w:r>
          </w:p>
        </w:tc>
      </w:tr>
    </w:tbl>
    <w:p>
      <w:pPr>
        <w:spacing w:after="60" w:before="60"/>
      </w:pPr>
    </w:p>
    <w:p>
      <w:pPr>
        <w:pStyle w:val="Heading3"/>
        <w:spacing w:after="100" w:before="200"/>
      </w:pPr>
      <w:r>
        <w:rPr>
          <w:rFonts w:ascii="Arial" w:cs="Arial" w:eastAsia="Arial" w:hAnsi="Arial"/>
          <w:b/>
          <w:bCs/>
          <w:color w:val="333333"/>
          <w:sz w:val="24"/>
          <w:szCs w:val="24"/>
        </w:rPr>
        <w:t xml:space="preserve">Evaluación Holdout (PreTec21) y Cross-Regime (Tec21)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200"/>
        <w:gridCol w:w="1200"/>
        <w:gridCol w:w="1160"/>
      </w:tblGrid>
      <w:tr>
        <w:trPr>
          <w:tblHeader/>
        </w:trPr>
        <w:tc>
          <w:tcPr>
            <w:tcW w:type="dxa" w:w="2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Modelo</w:t>
            </w:r>
          </w:p>
        </w:tc>
        <w:tc>
          <w:tcPr>
            <w:tcW w:type="dxa" w:w="18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Holdout AUC
(PreTec21)</w:t>
            </w:r>
          </w:p>
        </w:tc>
        <w:tc>
          <w:tcPr>
            <w:tcW w:type="dxa" w:w="2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Cross-Regime AUC
[IC 95%] (Tec21)</w:t>
            </w:r>
          </w:p>
        </w:tc>
        <w:tc>
          <w:tcPr>
            <w:tcW w:type="dxa" w:w="12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2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1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 Regresión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0.647 [0.635, 0.659]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0.87</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0.24</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Árbol Decisión</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0.646</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0.583 [0.568, 0.598]</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0.12</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0.84</w:t>
            </w:r>
          </w:p>
        </w:tc>
        <w:tc>
          <w:tcPr>
            <w:tcW w:type="dxa" w:w="1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Random Forest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0.666 [0.646,0.685]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0.644 [0.632, 0.656]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0.88</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0.25</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XGBoost</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0.661 [0.640,0.681]</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0.647 [0.635, 0.659]</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0.14</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0.87</w:t>
            </w:r>
          </w:p>
        </w:tc>
        <w:tc>
          <w:tcPr>
            <w:tcW w:type="dxa" w:w="1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0.24</w:t>
            </w:r>
          </w:p>
        </w:tc>
      </w:tr>
    </w:tbl>
    <w:p>
      <w:pPr>
        <w:spacing w:after="60" w:before="60"/>
      </w:pPr>
    </w:p>
    <w:p>
      <w:pPr>
        <w:spacing w:after="100" w:before="80"/>
        <w:jc w:val="both"/>
      </w:pPr>
      <w:r>
        <w:rPr>
          <w:rFonts w:ascii="Arial" w:cs="Arial" w:eastAsia="Arial" w:hAnsi="Arial"/>
          <w:sz w:val="22"/>
          <w:szCs w:val="22"/>
        </w:rPr>
        <w:t xml:space="preserve">Nota: Precision/Recall/F1 reportados con umbral OOF-optimizado. El Recall alto (~0.85–0.88) se logra a costa de baja Precision (~0.12–0.15), resultado del extremo desbalance de clases (~10:1). Esto implica ~15 falsas alarmas por cada desertor correctamente identificado, lo que debe considerarse en el diseño de intervención.</w:t>
      </w:r>
    </w:p>
    <w:p>
      <w:pPr>
        <w:spacing w:after="60" w:before="60"/>
      </w:pPr>
    </w:p>
    <w:p>
      <w:pPr>
        <w:pStyle w:val="Heading3"/>
        <w:spacing w:after="100" w:before="200"/>
      </w:pPr>
      <w:r>
        <w:rPr>
          <w:rFonts w:ascii="Arial" w:cs="Arial" w:eastAsia="Arial" w:hAnsi="Arial"/>
          <w:b/>
          <w:bCs/>
          <w:color w:val="333333"/>
          <w:sz w:val="24"/>
          <w:szCs w:val="24"/>
        </w:rPr>
        <w:t xml:space="preserve">Curvas de Aprendizaje (Random Forest)</w:t>
      </w:r>
    </w:p>
    <w:p>
      <w:pPr>
        <w:spacing w:after="100" w:before="80"/>
        <w:jc w:val="both"/>
      </w:pPr>
      <w:r>
        <w:rPr>
          <w:rFonts w:ascii="Arial" w:cs="Arial" w:eastAsia="Arial" w:hAnsi="Arial"/>
          <w:sz w:val="22"/>
          <w:szCs w:val="22"/>
        </w:rPr>
        <w:t xml:space="preserve">Las curvas de aprendizaje del Random Forest sobre PreTec21 revelan el comportamiento del modelo ante diferentes tamaños de muestra de entrenamiento: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360"/>
      </w:tblGrid>
      <w:tr>
        <w:trPr>
          <w:tblHeader/>
        </w:trPr>
        <w:tc>
          <w:tcPr>
            <w:tcW w:type="dxa" w:w="18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Tamaño entren.</w:t>
            </w:r>
          </w:p>
        </w:tc>
        <w:tc>
          <w:tcPr>
            <w:tcW w:type="dxa" w:w="18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Train AUC</w:t>
            </w:r>
          </w:p>
        </w:tc>
        <w:tc>
          <w:tcPr>
            <w:tcW w:type="dxa" w:w="18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Val AUC (CV)</w:t>
            </w:r>
          </w:p>
        </w:tc>
        <w:tc>
          <w:tcPr>
            <w:tcW w:type="dxa" w:w="18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Gap (overfitting)</w:t>
            </w:r>
          </w:p>
        </w:tc>
        <w:tc>
          <w:tcPr>
            <w:tcW w:type="dxa" w:w="23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Interpretación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~4,241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0.903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0.262</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Alto overfitting con pocos datos</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~12,722</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0.827</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0.657</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0.170</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Gap reduce conforme crece 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~25,444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0.787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0.665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0.122</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Zona de convergencia</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~42,408 (full)</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0.758</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0.671</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0.087</w:t>
            </w:r>
          </w:p>
        </w:tc>
        <w:tc>
          <w:tcPr>
            <w:tcW w:type="dxa" w:w="2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Gap residual ~0.09; más datos seguirían ayudando</w:t>
            </w:r>
          </w:p>
        </w:tc>
      </w:tr>
    </w:tbl>
    <w:p>
      <w:pPr>
        <w:spacing w:after="60" w:before="60"/>
      </w:pPr>
    </w:p>
    <w:p>
      <w:pPr>
        <w:spacing w:after="100" w:before="80"/>
        <w:jc w:val="both"/>
      </w:pPr>
      <w:r>
        <w:rPr>
          <w:rFonts w:ascii="Arial" w:cs="Arial" w:eastAsia="Arial" w:hAnsi="Arial"/>
          <w:sz w:val="22"/>
          <w:szCs w:val="22"/>
        </w:rPr>
        <w:t xml:space="preserve">Las curvas indican que el modelo sigue en zona de alta varianza incluso con los 42,408 ejemplos disponibles (gap=0.087). El Train AUC decae desde 0.903 con 10% de los datos hasta 0.758 con el 100%, lo que es característico de Random Forest que se sobre-ajusta menos conforme ve más datos. Más datos de entrenamiento continuarían cerrando el gap.</w:t>
      </w:r>
    </w:p>
    <w:p>
      <w:pPr>
        <w:spacing w:after="60" w:before="60"/>
      </w:pPr>
    </w:p>
    <w:p>
      <w:pPr>
        <w:pStyle w:val="Heading2"/>
        <w:spacing w:after="120" w:before="280"/>
      </w:pPr>
      <w:r>
        <w:rPr>
          <w:rFonts w:ascii="Arial" w:cs="Arial" w:eastAsia="Arial" w:hAnsi="Arial"/>
          <w:b/>
          <w:bCs/>
          <w:color w:val="1F5C8B"/>
          <w:sz w:val="26"/>
          <w:szCs w:val="26"/>
        </w:rPr>
        <w:t xml:space="preserve">2.1.8  Análisis de Errores</w:t>
      </w:r>
    </w:p>
    <w:p>
      <w:pPr>
        <w:pStyle w:val="Heading3"/>
        <w:spacing w:after="100" w:before="200"/>
      </w:pPr>
      <w:r>
        <w:rPr>
          <w:rFonts w:ascii="Arial" w:cs="Arial" w:eastAsia="Arial" w:hAnsi="Arial"/>
          <w:b/>
          <w:bCs/>
          <w:color w:val="333333"/>
          <w:sz w:val="24"/>
          <w:szCs w:val="24"/>
        </w:rPr>
        <w:t xml:space="preserve">Patrón de Errores con Umbral OOF-Optimizado</w:t>
      </w:r>
    </w:p>
    <w:p>
      <w:pPr>
        <w:pStyle w:val="ListParagraph"/>
        <w:numPr>
          <w:ilvl w:val="0"/>
          <w:numId w:val="2"/>
        </w:numPr>
        <w:spacing w:after="60" w:before="60"/>
      </w:pPr>
      <w:r>
        <w:rPr>
          <w:rFonts w:ascii="Arial" w:cs="Arial" w:eastAsia="Arial" w:hAnsi="Arial"/>
          <w:sz w:val="22"/>
          <w:szCs w:val="22"/>
        </w:rPr>
        <w:t xml:space="preserve">Falsos Negativos (desertores no detectados): ~12-15% para RF. Concentrados en clúster C0 (bajo riesgo aparente) y en estudiantes con apoyo financiero alto pero rendimiento académico en decaída.</w:t>
      </w:r>
    </w:p>
    <w:p>
      <w:pPr>
        <w:pStyle w:val="ListParagraph"/>
        <w:numPr>
          <w:ilvl w:val="0"/>
          <w:numId w:val="2"/>
        </w:numPr>
        <w:spacing w:after="60" w:before="60"/>
      </w:pPr>
      <w:r>
        <w:rPr>
          <w:rFonts w:ascii="Arial" w:cs="Arial" w:eastAsia="Arial" w:hAnsi="Arial"/>
          <w:sz w:val="22"/>
          <w:szCs w:val="22"/>
        </w:rPr>
        <w:t xml:space="preserve">Falsos Positivos (retenidos marcados como riesgo): ~85% del total de alertas con umbral OOF. El ratio FP/TP ≈ 15:1 es inherente al desbalance y al umbral de maximización de F1 sobre datos desbalanceados.</w:t>
      </w:r>
    </w:p>
    <w:p>
      <w:pPr>
        <w:pStyle w:val="ListParagraph"/>
        <w:numPr>
          <w:ilvl w:val="0"/>
          <w:numId w:val="2"/>
        </w:numPr>
        <w:spacing w:after="60" w:before="60"/>
      </w:pPr>
      <w:r>
        <w:rPr>
          <w:rFonts w:ascii="Arial" w:cs="Arial" w:eastAsia="Arial" w:hAnsi="Arial"/>
          <w:sz w:val="22"/>
          <w:szCs w:val="22"/>
        </w:rPr>
        <w:t xml:space="preserve">Degradación cross-regime: El AUC cae 1.0–2.2 puntos porcentuales al pasar de evaluación holdout PreTec21 a evaluación Tec21 (RF: 0.666 → 0.644). Esta degradación moderada es favorable: indica que los predictores se mantienen en gran medida invariantes.</w:t>
      </w:r>
    </w:p>
    <w:p>
      <w:pPr>
        <w:pStyle w:val="ListParagraph"/>
        <w:numPr>
          <w:ilvl w:val="0"/>
          <w:numId w:val="2"/>
        </w:numPr>
        <w:spacing w:after="60" w:before="60"/>
      </w:pPr>
      <w:r>
        <w:rPr>
          <w:rFonts w:ascii="Arial" w:cs="Arial" w:eastAsia="Arial" w:hAnsi="Arial"/>
          <w:sz w:val="22"/>
          <w:szCs w:val="22"/>
        </w:rPr>
        <w:t xml:space="preserve">Clúster C3 (mayor riesgo): Mejor identificación (AUC=0.688 en Tec21). El perfil de alto riesgo combinado es el más estable y más fácil de detectar entre regímenes.</w:t>
      </w:r>
    </w:p>
    <w:p>
      <w:pPr>
        <w:pStyle w:val="ListParagraph"/>
        <w:numPr>
          <w:ilvl w:val="0"/>
          <w:numId w:val="2"/>
        </w:numPr>
        <w:spacing w:after="60" w:before="60"/>
      </w:pPr>
      <w:r>
        <w:rPr>
          <w:rFonts w:ascii="Arial" w:cs="Arial" w:eastAsia="Arial" w:hAnsi="Arial"/>
          <w:sz w:val="22"/>
          <w:szCs w:val="22"/>
        </w:rPr>
        <w:t xml:space="preserve">Clúster C0 (estándar): Mayor tasa de error de generalización. La desaparición del perfil en Tec21 (distancia coseno=0.794) se refleja en mayor incertidumbre predictiva.</w:t>
      </w:r>
    </w:p>
    <w:p>
      <w:pPr>
        <w:spacing w:after="60" w:before="60"/>
      </w:pPr>
    </w:p>
    <w:p>
      <w:pPr>
        <w:pStyle w:val="Heading3"/>
        <w:spacing w:after="100" w:before="200"/>
      </w:pPr>
      <w:r>
        <w:rPr>
          <w:rFonts w:ascii="Arial" w:cs="Arial" w:eastAsia="Arial" w:hAnsi="Arial"/>
          <w:b/>
          <w:bCs/>
          <w:color w:val="333333"/>
          <w:sz w:val="24"/>
          <w:szCs w:val="24"/>
        </w:rPr>
        <w:t xml:space="preserve">Limitaciones del Módulo Supervisado</w:t>
      </w:r>
    </w:p>
    <w:p>
      <w:pPr>
        <w:pStyle w:val="ListParagraph"/>
        <w:numPr>
          <w:ilvl w:val="0"/>
          <w:numId w:val="2"/>
        </w:numPr>
        <w:spacing w:after="60" w:before="60"/>
      </w:pPr>
      <w:r>
        <w:rPr>
          <w:rFonts w:ascii="Arial" w:cs="Arial" w:eastAsia="Arial" w:hAnsi="Arial"/>
          <w:sz w:val="22"/>
          <w:szCs w:val="22"/>
        </w:rPr>
        <w:t xml:space="preserve">AUC ≈ 0.65–0.67 indica capacidad discriminativa moderada, consistente con la literatura de predicción de deserción basada en datos de admisión (sin datos académicos in-semester).</w:t>
      </w:r>
    </w:p>
    <w:p>
      <w:pPr>
        <w:pStyle w:val="ListParagraph"/>
        <w:numPr>
          <w:ilvl w:val="0"/>
          <w:numId w:val="2"/>
        </w:numPr>
        <w:spacing w:after="60" w:before="60"/>
      </w:pPr>
      <w:r>
        <w:rPr>
          <w:rFonts w:ascii="Arial" w:cs="Arial" w:eastAsia="Arial" w:hAnsi="Arial"/>
          <w:sz w:val="22"/>
          <w:szCs w:val="22"/>
        </w:rPr>
        <w:t xml:space="preserve">La imputación de datos faltantes puede suavizar diferencias reales entre perfiles, sesgando los predictores de clustering y clasificación.</w:t>
      </w:r>
    </w:p>
    <w:p>
      <w:pPr>
        <w:pStyle w:val="ListParagraph"/>
        <w:numPr>
          <w:ilvl w:val="0"/>
          <w:numId w:val="2"/>
        </w:numPr>
        <w:spacing w:after="60" w:before="60"/>
      </w:pPr>
      <w:r>
        <w:rPr>
          <w:rFonts w:ascii="Arial" w:cs="Arial" w:eastAsia="Arial" w:hAnsi="Arial"/>
          <w:sz w:val="22"/>
          <w:szCs w:val="22"/>
        </w:rPr>
        <w:t xml:space="preserve">La variable objetivo retention no distingue entre deserción voluntaria, académica o financiera, lo que limita la especificidad de los perfiles.</w:t>
      </w:r>
    </w:p>
    <w:p>
      <w:pPr>
        <w:pStyle w:val="ListParagraph"/>
        <w:numPr>
          <w:ilvl w:val="0"/>
          <w:numId w:val="2"/>
        </w:numPr>
        <w:spacing w:after="60" w:before="60"/>
      </w:pPr>
      <w:r>
        <w:rPr>
          <w:rFonts w:ascii="Arial" w:cs="Arial" w:eastAsia="Arial" w:hAnsi="Arial"/>
          <w:sz w:val="22"/>
          <w:szCs w:val="22"/>
        </w:rPr>
        <w:t xml:space="preserve">Ausencia de datos longitudinales (calificaciones por semestre, participación en cursos Tec21): los features disponibles son principalmente pre-ingreso, limitando el poder predictivo a ~0.65 AUC máximo con esta fuente de datos.</w:t>
      </w:r>
    </w:p>
    <w:p>
      <w:pPr>
        <w:spacing w:after="60" w:before="60"/>
      </w:pPr>
    </w:p>
    <w:p>
      <w:r>
        <w:br w:type="page"/>
      </w:r>
    </w:p>
    <w:p>
      <w:pPr>
        <w:pStyle w:val="Heading1"/>
        <w:spacing w:after="180" w:before="360"/>
      </w:pPr>
      <w:r>
        <w:rPr>
          <w:rFonts w:ascii="Arial" w:cs="Arial" w:eastAsia="Arial" w:hAnsi="Arial"/>
          <w:b/>
          <w:bCs/>
          <w:color w:val="1F5C8B"/>
          <w:sz w:val="32"/>
          <w:szCs w:val="32"/>
        </w:rPr>
        <w:t xml:space="preserve">2.2  Comparación Sistemática de Modelos</w:t>
      </w:r>
    </w:p>
    <w:p>
      <w:pPr>
        <w:pBdr>
          <w:bottom w:val="single" w:color="1F5C8B" w:sz="4" w:space="1"/>
        </w:pBdr>
        <w:spacing w:after="120" w:before="120"/>
      </w:pPr>
    </w:p>
    <w:p>
      <w:pPr>
        <w:spacing w:after="100" w:before="80"/>
        <w:jc w:val="both"/>
      </w:pPr>
      <w:r>
        <w:rPr>
          <w:rFonts w:ascii="Arial" w:cs="Arial" w:eastAsia="Arial" w:hAnsi="Arial"/>
          <w:sz w:val="22"/>
          <w:szCs w:val="22"/>
        </w:rPr>
        <w:t xml:space="preserve">La siguiente tabla consolida los resultados de todos los modelos supervisados evaluados, facilitando la selección del modelo óptimo según distintos criterios (desempeño, interpretabilidad, eficiencia computacional).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900"/>
        <w:gridCol w:w="900"/>
        <w:gridCol w:w="900"/>
        <w:gridCol w:w="1200"/>
        <w:gridCol w:w="1250"/>
        <w:gridCol w:w="1250"/>
      </w:tblGrid>
      <w:tr>
        <w:trPr>
          <w:tblHeader/>
        </w:trPr>
        <w:tc>
          <w:tcPr>
            <w:tcW w:type="dxa" w:w="14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Modelo</w:t>
            </w:r>
          </w:p>
        </w:tc>
        <w:tc>
          <w:tcPr>
            <w:tcW w:type="dxa" w:w="1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CV AUC
(±SD)</w:t>
            </w:r>
          </w:p>
        </w:tc>
        <w:tc>
          <w:tcPr>
            <w:tcW w:type="dxa" w:w="1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Cross-Regime
AUC [95% CI]</w:t>
            </w:r>
          </w:p>
        </w:tc>
        <w:tc>
          <w:tcPr>
            <w:tcW w:type="dxa" w:w="9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w:t>
            </w:r>
          </w:p>
        </w:tc>
        <w:tc>
          <w:tcPr>
            <w:tcW w:type="dxa" w:w="9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9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w:t>
            </w:r>
          </w:p>
        </w:tc>
        <w:tc>
          <w:tcPr>
            <w:tcW w:type="dxa" w:w="12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Interpretab.</w:t>
            </w:r>
          </w:p>
        </w:tc>
        <w:tc>
          <w:tcPr>
            <w:tcW w:type="dxa" w:w="125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Ventajas</w:t>
            </w:r>
          </w:p>
        </w:tc>
        <w:tc>
          <w:tcPr>
            <w:tcW w:type="dxa" w:w="125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Limitaciones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Regresión Logística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0.674
±0.017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0.647
[0.635, 0.659]</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0.87</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
(coefs)</w:t>
            </w:r>
          </w:p>
        </w:tc>
        <w:tc>
          <w:tcPr>
            <w:tcW w:type="dxa" w:w="1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Interpretable, rápida, baseline robusto</w:t>
            </w:r>
          </w:p>
        </w:tc>
        <w:tc>
          <w:tcPr>
            <w:tcW w:type="dxa" w:w="1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captura no-linealidades; sensible a escala</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Árbol de Decisión
(max_depth=5)</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0.652
±0.014</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0.583
[0.568, 0.598]</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0.12</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0.84</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0.21</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Muy alta
(reglas)</w:t>
            </w:r>
          </w:p>
        </w:tc>
        <w:tc>
          <w:tcPr>
            <w:tcW w:type="dxa" w:w="125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Reglas explícitas; fácil de auditar</w:t>
            </w:r>
          </w:p>
        </w:tc>
        <w:tc>
          <w:tcPr>
            <w:tcW w:type="dxa" w:w="125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Mayor varianza; AUC inferior; prone a overfitting</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Random Forest
(tuned)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0.674
±0.018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0.644
[0.632, 0.656]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0.15</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0.88</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Media
(SHAP/imp.)</w:t>
            </w:r>
          </w:p>
        </w:tc>
        <w:tc>
          <w:tcPr>
            <w:tcW w:type="dxa" w:w="1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Mejor AUC; robusto al ruido; SHAP disponible</w:t>
            </w:r>
          </w:p>
        </w:tc>
        <w:tc>
          <w:tcPr>
            <w:tcW w:type="dxa" w:w="1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Caja negra; mayor tiempo; 11 pts degradación cross-regime</w:t>
            </w:r>
          </w:p>
        </w:tc>
      </w:tr>
      <w:tr>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XGBoost
(tuned)</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0.673
±0.016</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0.647
[0.635, 0.659]</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0.14</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0.87</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0.24</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Media
(SHAP/imp.)</w:t>
            </w:r>
          </w:p>
        </w:tc>
        <w:tc>
          <w:tcPr>
            <w:tcW w:type="dxa" w:w="125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Competitivo con RF; manejo nativo de imbalance</w:t>
            </w:r>
          </w:p>
        </w:tc>
        <w:tc>
          <w:tcPr>
            <w:tcW w:type="dxa" w:w="125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Más hiperparámetros; riesgo de sobreajuste en datos pequeños</w:t>
            </w:r>
          </w:p>
        </w:tc>
      </w:tr>
    </w:tbl>
    <w:p>
      <w:pPr>
        <w:spacing w:after="60" w:before="60"/>
      </w:pPr>
    </w:p>
    <w:p>
      <w:pPr>
        <w:pStyle w:val="Heading2"/>
        <w:spacing w:after="120" w:before="280"/>
      </w:pPr>
      <w:r>
        <w:rPr>
          <w:rFonts w:ascii="Arial" w:cs="Arial" w:eastAsia="Arial" w:hAnsi="Arial"/>
          <w:b/>
          <w:bCs/>
          <w:color w:val="1F5C8B"/>
          <w:sz w:val="26"/>
          <w:szCs w:val="26"/>
        </w:rPr>
        <w:t xml:space="preserve">2.2.1  Análisis de la Comparación</w:t>
      </w:r>
    </w:p>
    <w:p>
      <w:pPr>
        <w:pStyle w:val="Heading3"/>
        <w:spacing w:after="100" w:before="200"/>
      </w:pPr>
      <w:r>
        <w:rPr>
          <w:rFonts w:ascii="Arial" w:cs="Arial" w:eastAsia="Arial" w:hAnsi="Arial"/>
          <w:b/>
          <w:bCs/>
          <w:color w:val="333333"/>
          <w:sz w:val="24"/>
          <w:szCs w:val="24"/>
        </w:rPr>
        <w:t xml:space="preserve">Desempeño Predictivo</w:t>
      </w:r>
    </w:p>
    <w:p>
      <w:pPr>
        <w:spacing w:after="100" w:before="80"/>
        <w:jc w:val="both"/>
      </w:pPr>
      <w:r>
        <w:rPr>
          <w:rFonts w:ascii="Arial" w:cs="Arial" w:eastAsia="Arial" w:hAnsi="Arial"/>
          <w:sz w:val="22"/>
          <w:szCs w:val="22"/>
        </w:rPr>
        <w:t xml:space="preserve">Logistic Regression (LR), Random Forest (RF) y XGBoost (XGB) presentan AUC-ROC prácticamente idéntico en validación cruzada (0.673–0.674 ± 0.017). Esta convergencia sugiere que el límite de información en los datos de admisión está alrededor de 0.67 AUC, independientemente de la complejidad del modelo. El Árbol de Decisión queda rezagado (~0.65 AUC) pero ofrece la mayor interpretabilidad operativa.</w:t>
      </w:r>
    </w:p>
    <w:p>
      <w:pPr>
        <w:spacing w:after="60" w:before="60"/>
      </w:pPr>
    </w:p>
    <w:p>
      <w:pPr>
        <w:pStyle w:val="Heading3"/>
        <w:spacing w:after="100" w:before="200"/>
      </w:pPr>
      <w:r>
        <w:rPr>
          <w:rFonts w:ascii="Arial" w:cs="Arial" w:eastAsia="Arial" w:hAnsi="Arial"/>
          <w:b/>
          <w:bCs/>
          <w:color w:val="333333"/>
          <w:sz w:val="24"/>
          <w:szCs w:val="24"/>
        </w:rPr>
        <w:t xml:space="preserve">Generalización Cross-Regime</w:t>
      </w:r>
    </w:p>
    <w:p>
      <w:pPr>
        <w:spacing w:after="100" w:before="80"/>
        <w:jc w:val="both"/>
      </w:pPr>
      <w:r>
        <w:rPr>
          <w:rFonts w:ascii="Arial" w:cs="Arial" w:eastAsia="Arial" w:hAnsi="Arial"/>
          <w:sz w:val="22"/>
          <w:szCs w:val="22"/>
        </w:rPr>
        <w:t xml:space="preserve">La degradación cross-regime (PreTec21 holdout → Tec21 evaluación) es consistente entre modelos: RF 0.666→0.644 (-2.2 pp), LR 0.673→0.647 (-2.6 pp), XGB 0.661→0.647 (-1.4 pp). El menor drift de XGB puede atribuirse a la regularización implícita del gradient boosting. El Árbol de Decisión muestra la mayor degradación (0.646→0.583, -6.3 pp), consecuencia de su sensibilidad a la distribución de entrenamiento.</w:t>
      </w:r>
    </w:p>
    <w:p>
      <w:pPr>
        <w:spacing w:after="60" w:before="60"/>
      </w:pPr>
    </w:p>
    <w:p>
      <w:pPr>
        <w:pStyle w:val="Heading3"/>
        <w:spacing w:after="100" w:before="200"/>
      </w:pPr>
      <w:r>
        <w:rPr>
          <w:rFonts w:ascii="Arial" w:cs="Arial" w:eastAsia="Arial" w:hAnsi="Arial"/>
          <w:b/>
          <w:bCs/>
          <w:color w:val="333333"/>
          <w:sz w:val="24"/>
          <w:szCs w:val="24"/>
        </w:rPr>
        <w:t xml:space="preserve">Modelo Recomendado</w:t>
      </w:r>
    </w:p>
    <w:p>
      <w:pPr>
        <w:spacing w:after="100" w:before="80"/>
        <w:jc w:val="both"/>
      </w:pPr>
      <w:r>
        <w:rPr>
          <w:rFonts w:ascii="Arial" w:cs="Arial" w:eastAsia="Arial" w:hAnsi="Arial"/>
          <w:sz w:val="22"/>
          <w:szCs w:val="22"/>
        </w:rPr>
        <w:t xml:space="preserve">Para el objetivo de análisis de invarianza, el Random Forest es el modelo recomendado por su combinación de AUC competitivo, robustez al ruido, compatibilidad con SHAP (TreeExplainer) y degradación cross-regime moderada. Para despliegue operativo con necesidad de explicabilidad, la Regresión Logística ofrece resultados comparables con interpretación directa de coeficientes.</w:t>
      </w:r>
    </w:p>
    <w:p>
      <w:pPr>
        <w:spacing w:after="60" w:before="60"/>
      </w:pPr>
    </w:p>
    <w:p>
      <w:pPr>
        <w:pStyle w:val="Heading2"/>
        <w:spacing w:after="120" w:before="280"/>
      </w:pPr>
      <w:r>
        <w:rPr>
          <w:rFonts w:ascii="Arial" w:cs="Arial" w:eastAsia="Arial" w:hAnsi="Arial"/>
          <w:b/>
          <w:bCs/>
          <w:color w:val="1F5C8B"/>
          <w:sz w:val="26"/>
          <w:szCs w:val="26"/>
        </w:rPr>
        <w:t xml:space="preserve">2.2.2  Tiempo de Entrenamiento Estimado (PreTec21 train, n≈42,408)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760"/>
      </w:tblGrid>
      <w:tr>
        <w:trPr>
          <w:tblHeader/>
        </w:trPr>
        <w:tc>
          <w:tcPr>
            <w:tcW w:type="dxa" w:w="3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Modelo</w:t>
            </w:r>
          </w:p>
        </w:tc>
        <w:tc>
          <w:tcPr>
            <w:tcW w:type="dxa" w:w="2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Entrenamiento</w:t>
            </w:r>
          </w:p>
        </w:tc>
        <w:tc>
          <w:tcPr>
            <w:tcW w:type="dxa" w:w="2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Inferencia (1 epoch)</w:t>
            </w:r>
          </w:p>
        </w:tc>
        <w:tc>
          <w:tcPr>
            <w:tcW w:type="dxa" w:w="27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Notas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Regresión Logística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10 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1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Muy rápida; escalable</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Árbol de Decisión</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5 s</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1 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Más rápido que ensemble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Random Forest (300 árboles)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60–120 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 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Paralelizable (n_jobs=-1)</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XGBoost (300 estimadores)</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45–90 s</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 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Más rápido que RF; GPU opcional</w:t>
            </w:r>
          </w:p>
        </w:tc>
      </w:tr>
    </w:tbl>
    <w:p>
      <w:pPr>
        <w:spacing w:after="60" w:before="60"/>
      </w:pPr>
    </w:p>
    <w:p>
      <w:r>
        <w:br w:type="page"/>
      </w:r>
    </w:p>
    <w:p>
      <w:pPr>
        <w:pStyle w:val="Heading1"/>
        <w:spacing w:after="180" w:before="360"/>
      </w:pPr>
      <w:r>
        <w:rPr>
          <w:rFonts w:ascii="Arial" w:cs="Arial" w:eastAsia="Arial" w:hAnsi="Arial"/>
          <w:b/>
          <w:bCs/>
          <w:color w:val="1F5C8B"/>
          <w:sz w:val="32"/>
          <w:szCs w:val="32"/>
        </w:rPr>
        <w:t xml:space="preserve">2.3  Experimentos Negativos y Aproximaciones Descartadas</w:t>
      </w:r>
    </w:p>
    <w:p>
      <w:pPr>
        <w:pBdr>
          <w:bottom w:val="single" w:color="1F5C8B" w:sz="4" w:space="1"/>
        </w:pBdr>
        <w:spacing w:after="120" w:before="120"/>
      </w:pPr>
    </w:p>
    <w:p>
      <w:pPr>
        <w:spacing w:after="100" w:before="80"/>
        <w:jc w:val="both"/>
      </w:pPr>
      <w:r>
        <w:rPr>
          <w:rFonts w:ascii="Arial" w:cs="Arial" w:eastAsia="Arial" w:hAnsi="Arial"/>
          <w:sz w:val="22"/>
          <w:szCs w:val="22"/>
        </w:rPr>
        <w:t xml:space="preserve">Esta sección documenta las aproximaciones metodológicas que fueron exploradas y descartadas durante el desarrollo del proyecto. Los experimentos negativos son informativos para la investigación, ya que delimitan el espacio de soluciones viables y justifican las decisiones de diseño adoptadas. El código correspondiente está disponible en la Sección 14 del notebook 02b_KMeans_Independiente.ipynb.</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Experimento</w:t>
            </w:r>
          </w:p>
        </w:tc>
        <w:tc>
          <w:tcPr>
            <w:tcW w:type="dxa" w:w="460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Razón de Descarte</w:t>
            </w:r>
          </w:p>
        </w:tc>
        <w:tc>
          <w:tcPr>
            <w:tcW w:type="dxa" w:w="2760"/>
            <w:tcBorders>
              <w:top w:val="single" w:color="BBBBBB" w:sz="1"/>
              <w:left w:val="single" w:color="BBBBBB" w:sz="1"/>
              <w:bottom w:val="single" w:color="BBBBBB" w:sz="1"/>
              <w:right w:val="single" w:color="BBBBBB" w:sz="1"/>
            </w:tcBorders>
            <w:shd w:fill="D6E8F5"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Resultado / Decisión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K-Means con k=6 y k=8</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Silhouette &lt; 0.12 y Davies-Bouldin &gt; 2.1 al aumentar k. Los clústeres adicionales fragmentan subgrupos ya identificados sin añadir interpretabilidad semántica.</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k=4 seleccionado por equilibrio Silhouette/DB y coherencia interpretativa</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DBSCAN (densidad)</w:t>
            </w:r>
          </w:p>
        </w:tc>
        <w:tc>
          <w:tcPr>
            <w:tcW w:type="dxa" w:w="4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 eps ∈ {0.3, 0.5, 0.8} asigna &gt;80% de estudiantes como ruido en espacio estandarizado de alta dimensión. No produce clústeres interpretables.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Descartado; K-Means favorece estructura esférica más adecuada al problema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Proyección de centroides PreTec21 → Tec21 (único enfoque)</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Fuerza comparabilidad directa de IDs pero puede enmascarar drift real en distribución Tec21. El K-Means independiente revela que Pre_C0 no tiene contraparte (distancia coseno = 0.794).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Ambos enfoques coexisten; el independiente (02b) es preferido para análisis de invarianza</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Variables campus/región en clustering</w:t>
            </w:r>
          </w:p>
        </w:tc>
        <w:tc>
          <w:tcPr>
            <w:tcW w:type="dxa" w:w="4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Incluir school_enc y region_enc produce segmentación geográfica trivial (clústeres = campus). Silhouette artificialmente alto (&gt;0.35) pero sin diferencia en tasas de deserción.</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Eliminadas del vector de clustering; retenidas solo como features supervisados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SVM con kernel RBF</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 n ≈ 42 000 muestras, SVM-RBF tardó &gt;20 min sin convergencia. AUC estimado en submuestra (n=5 000): 0.61, inferior a RF (0.67).</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Descartado por relación coste/beneficio desfavorable</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Umbral de clasificación por defecto (0.50)</w:t>
            </w:r>
          </w:p>
        </w:tc>
        <w:tc>
          <w:tcPr>
            <w:tcW w:type="dxa" w:w="4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 prevalencia ~8.8%, umbral=0.50 produce Recall&lt;0.20 para todos los modelos. Detecta menos de 1 de cada 5 desertores.</w:t>
            </w:r>
          </w:p>
        </w:tc>
        <w:tc>
          <w:tcPr>
            <w:tcW w:type="dxa" w:w="2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Umbral OOF-optimizado adoptado; FP/TP ≈ 15:1 reconocido como limitación inherente al desbalance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SMOTE para balanceo de clases</w:t>
            </w:r>
          </w:p>
        </w:tc>
        <w:tc>
          <w:tcPr>
            <w:tcW w:type="dxa" w:w="4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 variables mixtas (continuas + categóricas), SMOTE introduce artefactos fuera de rango categórico.</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Descartado; class_weight="balanced" y scale_pos_weight=10.3 adoptados como mecanismo de balance</w:t>
            </w:r>
          </w:p>
        </w:tc>
      </w:tr>
    </w:tbl>
    <w:p>
      <w:pPr>
        <w:spacing w:after="60" w:before="60"/>
      </w:pPr>
    </w:p>
    <w:p>
      <w:pPr>
        <w:pStyle w:val="Heading2"/>
        <w:spacing w:after="120" w:before="280"/>
      </w:pPr>
      <w:r>
        <w:rPr>
          <w:rFonts w:ascii="Arial" w:cs="Arial" w:eastAsia="Arial" w:hAnsi="Arial"/>
          <w:b/>
          <w:bCs/>
          <w:color w:val="1F5C8B"/>
          <w:sz w:val="26"/>
          <w:szCs w:val="26"/>
        </w:rPr>
        <w:t xml:space="preserve">2.3.1  Implicaciones para la Pregunta de Investigación</w:t>
      </w:r>
    </w:p>
    <w:p>
      <w:pPr>
        <w:spacing w:after="100" w:before="80"/>
        <w:jc w:val="both"/>
      </w:pPr>
      <w:r>
        <w:rPr>
          <w:rFonts w:ascii="Arial" w:cs="Arial" w:eastAsia="Arial" w:hAnsi="Arial"/>
          <w:sz w:val="22"/>
          <w:szCs w:val="22"/>
        </w:rPr>
        <w:t xml:space="preserve">El conjunto de experimentos negativos refuerza las siguientes conclusiones metodológicas:</w:t>
      </w:r>
    </w:p>
    <w:p>
      <w:pPr>
        <w:spacing w:after="60" w:before="60"/>
      </w:pPr>
    </w:p>
    <w:p>
      <w:pPr>
        <w:pStyle w:val="ListParagraph"/>
        <w:numPr>
          <w:ilvl w:val="0"/>
          <w:numId w:val="2"/>
        </w:numPr>
        <w:spacing w:after="60" w:before="60"/>
      </w:pPr>
      <w:r>
        <w:rPr>
          <w:rFonts w:ascii="Arial" w:cs="Arial" w:eastAsia="Arial" w:hAnsi="Arial"/>
          <w:sz w:val="22"/>
          <w:szCs w:val="22"/>
        </w:rPr>
        <w:t xml:space="preserve">La selección de K=4 es robusta: múltiples valores de K fueron evaluados y K=4 emerge consistentemente como el punto de equilibrio óptimo entre granularidad y calidad de clustering.</w:t>
      </w:r>
    </w:p>
    <w:p>
      <w:pPr>
        <w:pStyle w:val="ListParagraph"/>
        <w:numPr>
          <w:ilvl w:val="0"/>
          <w:numId w:val="2"/>
        </w:numPr>
        <w:spacing w:after="60" w:before="60"/>
      </w:pPr>
      <w:r>
        <w:rPr>
          <w:rFonts w:ascii="Arial" w:cs="Arial" w:eastAsia="Arial" w:hAnsi="Arial"/>
          <w:sz w:val="22"/>
          <w:szCs w:val="22"/>
        </w:rPr>
        <w:t xml:space="preserve">K-Means es el algoritmo apropiado para este dominio: la distribución de variables de admisión universitaria es mayormente continua y sin clusters de densidad muy desigual, lo que favorece K-Means sobre DBSCAN.</w:t>
      </w:r>
    </w:p>
    <w:p>
      <w:pPr>
        <w:pStyle w:val="ListParagraph"/>
        <w:numPr>
          <w:ilvl w:val="0"/>
          <w:numId w:val="2"/>
        </w:numPr>
        <w:spacing w:after="60" w:before="60"/>
      </w:pPr>
      <w:r>
        <w:rPr>
          <w:rFonts w:ascii="Arial" w:cs="Arial" w:eastAsia="Arial" w:hAnsi="Arial"/>
          <w:sz w:val="22"/>
          <w:szCs w:val="22"/>
        </w:rPr>
        <w:t xml:space="preserve">Los dos enfoques de clustering (proyección vs. independiente) son complementarios: el enfoque de proyección (notebook 02) permite comparación directa de IDs, mientras que el independiente (notebook 02b) revela drift genuino entre regímenes que la proyección enmascararía.</w:t>
      </w:r>
    </w:p>
    <w:p>
      <w:pPr>
        <w:pStyle w:val="ListParagraph"/>
        <w:numPr>
          <w:ilvl w:val="0"/>
          <w:numId w:val="2"/>
        </w:numPr>
        <w:spacing w:after="60" w:before="60"/>
      </w:pPr>
      <w:r>
        <w:rPr>
          <w:rFonts w:ascii="Arial" w:cs="Arial" w:eastAsia="Arial" w:hAnsi="Arial"/>
          <w:sz w:val="22"/>
          <w:szCs w:val="22"/>
        </w:rPr>
        <w:t xml:space="preserve">El desbalance de clases extremo (~10:1) es el principal límite operativo del sistema predictivo: ninguna estrategia de modelo (SMOTE, umbral, scale_pos_weight) elimina el trade-off fundamental entre Precision y Recall a este nivel de imbalance.</w:t>
      </w:r>
    </w:p>
    <w:p>
      <w:pPr>
        <w:pStyle w:val="ListParagraph"/>
        <w:numPr>
          <w:ilvl w:val="0"/>
          <w:numId w:val="2"/>
        </w:numPr>
        <w:spacing w:after="60" w:before="60"/>
      </w:pPr>
      <w:r>
        <w:rPr>
          <w:rFonts w:ascii="Arial" w:cs="Arial" w:eastAsia="Arial" w:hAnsi="Arial"/>
          <w:sz w:val="22"/>
          <w:szCs w:val="22"/>
        </w:rPr>
        <w:t xml:space="preserve">El techo de AUC (~0.67) con datos de admisión sugiere que para superar esta barrera se requerirían features de comportamiento in-semester (notas parciales, asistencia, participación en plataforma), no disponibles en el dataset actual.</w:t>
      </w:r>
    </w:p>
    <w:p>
      <w:pPr>
        <w:spacing w:after="60" w:before="60"/>
      </w:pPr>
    </w:p>
    <w:p>
      <w:r>
        <w:br w:type="page"/>
      </w:r>
    </w:p>
    <w:p>
      <w:pPr>
        <w:pStyle w:val="Heading1"/>
        <w:spacing w:after="180" w:before="360"/>
      </w:pPr>
      <w:r>
        <w:rPr>
          <w:rFonts w:ascii="Arial" w:cs="Arial" w:eastAsia="Arial" w:hAnsi="Arial"/>
          <w:b/>
          <w:bCs/>
          <w:color w:val="1F5C8B"/>
          <w:sz w:val="32"/>
          <w:szCs w:val="32"/>
        </w:rPr>
        <w:t xml:space="preserve">Síntesis: Respuesta a la Pregunta de Investigación</w:t>
      </w:r>
    </w:p>
    <w:p>
      <w:pPr>
        <w:pBdr>
          <w:bottom w:val="single" w:color="1F5C8B" w:sz="4" w:space="1"/>
        </w:pBdr>
        <w:spacing w:after="120" w:before="120"/>
      </w:pPr>
    </w:p>
    <w:p>
      <w:pPr>
        <w:spacing w:after="100" w:before="80"/>
        <w:jc w:val="both"/>
      </w:pPr>
      <w:r>
        <w:rPr>
          <w:rFonts w:ascii="Arial" w:cs="Arial" w:eastAsia="Arial" w:hAnsi="Arial"/>
          <w:sz w:val="22"/>
          <w:szCs w:val="22"/>
        </w:rPr>
        <w:t xml:space="preserve">Pregunta de Investigación: ¿Existe un perfil de deserción invariante ante el cambio pedagógico entre modelos pre-Tec21 y Tec21?</w:t>
      </w:r>
    </w:p>
    <w:p>
      <w:pPr>
        <w:spacing w:after="60" w:before="60"/>
      </w:pPr>
    </w:p>
    <w:p>
      <w:pPr>
        <w:spacing w:after="100" w:before="80"/>
        <w:jc w:val="both"/>
      </w:pPr>
      <w:r>
        <w:rPr>
          <w:rFonts w:ascii="Arial" w:cs="Arial" w:eastAsia="Arial" w:hAnsi="Arial"/>
          <w:i/>
          <w:iCs/>
          <w:sz w:val="22"/>
          <w:szCs w:val="22"/>
        </w:rPr>
        <w:t xml:space="preserve">Evidencia a favor de la invarianza:</w:t>
      </w:r>
    </w:p>
    <w:p>
      <w:pPr>
        <w:pStyle w:val="ListParagraph"/>
        <w:numPr>
          <w:ilvl w:val="0"/>
          <w:numId w:val="2"/>
        </w:numPr>
        <w:spacing w:after="60" w:before="60"/>
      </w:pPr>
      <w:r>
        <w:rPr>
          <w:rFonts w:ascii="Arial" w:cs="Arial" w:eastAsia="Arial" w:hAnsi="Arial"/>
          <w:sz w:val="22"/>
          <w:szCs w:val="22"/>
        </w:rPr>
        <w:t xml:space="preserve">Correlación Spearman global de importancias SHAP: ρ = 0.973 entre PreTec21 y Tec21 (alta invarianza del ranking de predictores a nivel poblacional).</w:t>
      </w:r>
    </w:p>
    <w:p>
      <w:pPr>
        <w:pStyle w:val="ListParagraph"/>
        <w:numPr>
          <w:ilvl w:val="0"/>
          <w:numId w:val="2"/>
        </w:numPr>
        <w:spacing w:after="60" w:before="60"/>
      </w:pPr>
      <w:r>
        <w:rPr>
          <w:rFonts w:ascii="Arial" w:cs="Arial" w:eastAsia="Arial" w:hAnsi="Arial"/>
          <w:sz w:val="22"/>
          <w:szCs w:val="22"/>
        </w:rPr>
        <w:t xml:space="preserve">Tres de cuatro clústeres tienen correspondencia en Tec21 (distancias coseno &lt; 0.35), indicando que los perfiles de riesgo base se preservan.</w:t>
      </w:r>
    </w:p>
    <w:p>
      <w:pPr>
        <w:pStyle w:val="ListParagraph"/>
        <w:numPr>
          <w:ilvl w:val="0"/>
          <w:numId w:val="2"/>
        </w:numPr>
        <w:spacing w:after="60" w:before="60"/>
      </w:pPr>
      <w:r>
        <w:rPr>
          <w:rFonts w:ascii="Arial" w:cs="Arial" w:eastAsia="Arial" w:hAnsi="Arial"/>
          <w:sz w:val="22"/>
          <w:szCs w:val="22"/>
        </w:rPr>
        <w:t xml:space="preserve">Degradación cross-regime moderada: 1.4–2.6 puntos porcentuales de caída en AUC, dentro del rango esperado por drift de distribución.</w:t>
      </w:r>
    </w:p>
    <w:p>
      <w:pPr>
        <w:pStyle w:val="ListParagraph"/>
        <w:numPr>
          <w:ilvl w:val="0"/>
          <w:numId w:val="2"/>
        </w:numPr>
        <w:spacing w:after="60" w:before="60"/>
      </w:pPr>
      <w:r>
        <w:rPr>
          <w:rFonts w:ascii="Arial" w:cs="Arial" w:eastAsia="Arial" w:hAnsi="Arial"/>
          <w:sz w:val="22"/>
          <w:szCs w:val="22"/>
        </w:rPr>
        <w:t xml:space="preserve">El perfil C3 (mayor riesgo combinado: bajo rendimiento, primera generación, sin apoyo financiero) es completamente estable (coseno=0.030) y con el mayor AUC en Tec21.</w:t>
      </w:r>
    </w:p>
    <w:p>
      <w:pPr>
        <w:spacing w:after="60" w:before="60"/>
      </w:pPr>
    </w:p>
    <w:p>
      <w:pPr>
        <w:spacing w:after="100" w:before="80"/>
        <w:jc w:val="both"/>
      </w:pPr>
      <w:r>
        <w:rPr>
          <w:rFonts w:ascii="Arial" w:cs="Arial" w:eastAsia="Arial" w:hAnsi="Arial"/>
          <w:i/>
          <w:iCs/>
          <w:sz w:val="22"/>
          <w:szCs w:val="22"/>
        </w:rPr>
        <w:t xml:space="preserve">Evidencia contra la invarianza completa:</w:t>
      </w:r>
    </w:p>
    <w:p>
      <w:pPr>
        <w:pStyle w:val="ListParagraph"/>
        <w:numPr>
          <w:ilvl w:val="0"/>
          <w:numId w:val="2"/>
        </w:numPr>
        <w:spacing w:after="60" w:before="60"/>
      </w:pPr>
      <w:r>
        <w:rPr>
          <w:rFonts w:ascii="Arial" w:cs="Arial" w:eastAsia="Arial" w:hAnsi="Arial"/>
          <w:sz w:val="22"/>
          <w:szCs w:val="22"/>
        </w:rPr>
        <w:t xml:space="preserve">El perfil C0 (estándar con extracurriculares) desaparece en Tec21 (coseno=0.794), lo que sugiere que el modelo Tec21 reorganiza significativamente este segmento.</w:t>
      </w:r>
    </w:p>
    <w:p>
      <w:pPr>
        <w:pStyle w:val="ListParagraph"/>
        <w:numPr>
          <w:ilvl w:val="0"/>
          <w:numId w:val="2"/>
        </w:numPr>
        <w:spacing w:after="60" w:before="60"/>
      </w:pPr>
      <w:r>
        <w:rPr>
          <w:rFonts w:ascii="Arial" w:cs="Arial" w:eastAsia="Arial" w:hAnsi="Arial"/>
          <w:sz w:val="22"/>
          <w:szCs w:val="22"/>
        </w:rPr>
        <w:t xml:space="preserve">Inestabilidad SHAP a nivel de clúster: C0 (ρ=0.333) y C1 muestran que los predictores específicos de cada perfil no son completamente invariantes, aunque el ranking global sí lo sea.</w:t>
      </w:r>
    </w:p>
    <w:p>
      <w:pPr>
        <w:spacing w:after="60" w:before="60"/>
      </w:pPr>
    </w:p>
    <w:p>
      <w:pPr>
        <w:spacing w:after="100" w:before="80"/>
        <w:jc w:val="both"/>
      </w:pPr>
      <w:r>
        <w:rPr>
          <w:rFonts w:ascii="Arial" w:cs="Arial" w:eastAsia="Arial" w:hAnsi="Arial"/>
          <w:sz w:val="22"/>
          <w:szCs w:val="22"/>
        </w:rPr>
        <w:t xml:space="preserve">Conclusión: Existe una invarianza parcial y diferenciada. El perfil de mayor riesgo (C3) es el más estable y transferible entre regímenes, lo que tiene la mayor implicación práctica para sistemas de alerta temprana. Los perfiles de bajo y mediano riesgo presentan mayor variabilidad, lo que sugiere que el cambio pedagógico Tec21 afecta principalmente la redistribución de estudiantes "en la media" más que a los extremos de riesgo.</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8B" w:sz="2" w:space="1"/>
      </w:pBd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1"/>
      </w:pBdr>
      <w:jc w:val="right"/>
    </w:pPr>
    <w:r>
      <w:rPr>
        <w:rFonts w:ascii="Arial" w:cs="Arial" w:eastAsia="Arial" w:hAnsi="Arial"/>
        <w:color w:val="555555"/>
        <w:sz w:val="18"/>
        <w:szCs w:val="18"/>
      </w:rPr>
      <w:t xml:space="preserve">COMPONENTE 2: Experimentación Metodológica  |  Predicción de Deserción Estudiantil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8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2026-05-27T04:04:16.915Z</dcterms:created>
  <dcterms:modified xsi:type="dcterms:W3CDTF">2026-05-27T04:04:16.915Z</dcterms:modified>
</cp:coreProperties>
</file>

<file path=docProps/custom.xml><?xml version="1.0" encoding="utf-8"?>
<Properties xmlns="http://schemas.openxmlformats.org/officeDocument/2006/custom-properties" xmlns:vt="http://schemas.openxmlformats.org/officeDocument/2006/docPropsVTypes"/>
</file>