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EE426C" w:rsidRDefault="009C67B8" w:rsidP="00FF5D8B">
      <w:pPr>
        <w:pStyle w:val="papertitle"/>
      </w:pPr>
      <w:bookmarkStart w:id="0" w:name="OLE_LINK7"/>
      <w:bookmarkStart w:id="1" w:name="OLE_LINK8"/>
      <w:r w:rsidRPr="009C67B8">
        <w:t>Application of principal component analysis in portfolio management</w:t>
      </w:r>
    </w:p>
    <w:bookmarkEnd w:id="0"/>
    <w:bookmarkEnd w:id="1"/>
    <w:p w:rsidR="00FF5D8B" w:rsidRPr="008B2054" w:rsidRDefault="004740F3" w:rsidP="00FF5D8B">
      <w:pPr>
        <w:pStyle w:val="author"/>
        <w:rPr>
          <w:sz w:val="24"/>
          <w:szCs w:val="24"/>
        </w:rPr>
      </w:pPr>
      <w:r w:rsidRPr="008B2054">
        <w:rPr>
          <w:sz w:val="24"/>
          <w:szCs w:val="24"/>
        </w:rPr>
        <w:t>Li Qichao</w:t>
      </w:r>
      <w:r w:rsidR="009B2539" w:rsidRPr="008B2054">
        <w:rPr>
          <w:sz w:val="24"/>
          <w:szCs w:val="24"/>
          <w:vertAlign w:val="superscript"/>
        </w:rPr>
        <w:t>1</w:t>
      </w:r>
    </w:p>
    <w:p w:rsidR="00FF5D8B" w:rsidRPr="006809AE" w:rsidRDefault="009B2539" w:rsidP="004740F3">
      <w:pPr>
        <w:pStyle w:val="address"/>
      </w:pPr>
      <w:r w:rsidRPr="008B2054">
        <w:rPr>
          <w:sz w:val="24"/>
          <w:szCs w:val="24"/>
          <w:vertAlign w:val="superscript"/>
        </w:rPr>
        <w:t>1</w:t>
      </w:r>
      <w:r w:rsidRPr="008B2054">
        <w:rPr>
          <w:sz w:val="24"/>
          <w:szCs w:val="24"/>
        </w:rPr>
        <w:t xml:space="preserve"> </w:t>
      </w:r>
      <w:r w:rsidR="004740F3" w:rsidRPr="008B2054">
        <w:rPr>
          <w:sz w:val="24"/>
          <w:szCs w:val="24"/>
        </w:rPr>
        <w:t xml:space="preserve">The Hong Kong University of Science and Technology </w:t>
      </w:r>
      <w:r w:rsidRPr="006809AE">
        <w:br/>
      </w:r>
      <w:r w:rsidR="004740F3" w:rsidRPr="008B2054">
        <w:rPr>
          <w:rStyle w:val="e-mail"/>
          <w:sz w:val="24"/>
          <w:szCs w:val="24"/>
        </w:rPr>
        <w:t>qlich@connect.ust.hk</w:t>
      </w:r>
    </w:p>
    <w:p w:rsidR="009C67B8" w:rsidRPr="008B2054" w:rsidRDefault="00F61E66" w:rsidP="008B2054">
      <w:pPr>
        <w:pStyle w:val="heading1"/>
        <w:spacing w:line="480" w:lineRule="auto"/>
        <w:rPr>
          <w:sz w:val="28"/>
        </w:rPr>
      </w:pPr>
      <w:r w:rsidRPr="008B2054">
        <w:rPr>
          <w:sz w:val="28"/>
        </w:rPr>
        <w:t>Introduction</w:t>
      </w:r>
    </w:p>
    <w:p w:rsidR="008B2054" w:rsidRDefault="008B2054" w:rsidP="000D10DF">
      <w:pPr>
        <w:pStyle w:val="p1a"/>
        <w:spacing w:line="480" w:lineRule="auto"/>
        <w:rPr>
          <w:rFonts w:eastAsiaTheme="minorEastAsia"/>
          <w:sz w:val="24"/>
          <w:szCs w:val="24"/>
          <w:lang w:eastAsia="zh-CN"/>
        </w:rPr>
      </w:pPr>
      <w:r w:rsidRPr="000D10DF">
        <w:rPr>
          <w:rFonts w:eastAsiaTheme="minorEastAsia" w:hint="eastAsia"/>
          <w:sz w:val="24"/>
          <w:szCs w:val="24"/>
          <w:lang w:eastAsia="zh-CN"/>
        </w:rPr>
        <w:t xml:space="preserve">Principal component </w:t>
      </w:r>
      <w:r w:rsidR="000D10DF" w:rsidRPr="000D10DF">
        <w:rPr>
          <w:rFonts w:eastAsiaTheme="minorEastAsia"/>
          <w:sz w:val="24"/>
          <w:szCs w:val="24"/>
          <w:lang w:eastAsia="zh-CN"/>
        </w:rPr>
        <w:t>analysis (PCA) is the process of computing the</w:t>
      </w:r>
      <w:r w:rsidR="000D10DF">
        <w:rPr>
          <w:rFonts w:eastAsiaTheme="minorEastAsia"/>
          <w:sz w:val="24"/>
          <w:szCs w:val="24"/>
          <w:lang w:eastAsia="zh-CN"/>
        </w:rPr>
        <w:t xml:space="preserve"> principal components of a dataset and using them to represent </w:t>
      </w:r>
      <w:r w:rsidR="005A2834">
        <w:rPr>
          <w:rFonts w:eastAsiaTheme="minorEastAsia"/>
          <w:sz w:val="24"/>
          <w:szCs w:val="24"/>
          <w:lang w:eastAsia="zh-CN"/>
        </w:rPr>
        <w:t>it</w:t>
      </w:r>
      <w:r w:rsidR="000D10DF">
        <w:rPr>
          <w:rFonts w:eastAsiaTheme="minorEastAsia"/>
          <w:sz w:val="24"/>
          <w:szCs w:val="24"/>
          <w:lang w:eastAsia="zh-CN"/>
        </w:rPr>
        <w:t>, so as to reduce the dimension</w:t>
      </w:r>
      <w:r w:rsidR="00772908">
        <w:rPr>
          <w:rFonts w:eastAsiaTheme="minorEastAsia"/>
          <w:sz w:val="24"/>
          <w:szCs w:val="24"/>
          <w:lang w:eastAsia="zh-CN"/>
        </w:rPr>
        <w:t>al</w:t>
      </w:r>
      <w:r w:rsidR="000D10DF">
        <w:rPr>
          <w:rFonts w:eastAsiaTheme="minorEastAsia"/>
          <w:sz w:val="24"/>
          <w:szCs w:val="24"/>
          <w:lang w:eastAsia="zh-CN"/>
        </w:rPr>
        <w:t xml:space="preserve"> complexity</w:t>
      </w:r>
      <w:r w:rsidR="00D816D4">
        <w:rPr>
          <w:rFonts w:eastAsiaTheme="minorEastAsia"/>
          <w:sz w:val="24"/>
          <w:szCs w:val="24"/>
          <w:lang w:eastAsia="zh-CN"/>
        </w:rPr>
        <w:t xml:space="preserve"> while minimizing information loss[1]</w:t>
      </w:r>
      <w:r w:rsidR="00772908">
        <w:rPr>
          <w:rFonts w:eastAsiaTheme="minorEastAsia"/>
          <w:sz w:val="24"/>
          <w:szCs w:val="24"/>
          <w:lang w:eastAsia="zh-CN"/>
        </w:rPr>
        <w:t xml:space="preserve">. Also, we know that in </w:t>
      </w:r>
      <w:r w:rsidR="00C54864">
        <w:rPr>
          <w:rFonts w:eastAsiaTheme="minorEastAsia"/>
          <w:sz w:val="24"/>
          <w:szCs w:val="24"/>
          <w:lang w:eastAsia="zh-CN"/>
        </w:rPr>
        <w:t>finance,</w:t>
      </w:r>
      <w:r w:rsidR="00772908">
        <w:rPr>
          <w:rFonts w:eastAsiaTheme="minorEastAsia"/>
          <w:sz w:val="24"/>
          <w:szCs w:val="24"/>
          <w:lang w:eastAsia="zh-CN"/>
        </w:rPr>
        <w:t xml:space="preserve"> </w:t>
      </w:r>
      <w:r w:rsidR="00C178B8">
        <w:rPr>
          <w:rFonts w:eastAsiaTheme="minorEastAsia"/>
          <w:sz w:val="24"/>
          <w:szCs w:val="24"/>
          <w:lang w:eastAsia="zh-CN"/>
        </w:rPr>
        <w:t>a portfolio with high</w:t>
      </w:r>
      <w:r w:rsidR="00C54864">
        <w:rPr>
          <w:rFonts w:eastAsiaTheme="minorEastAsia"/>
          <w:sz w:val="24"/>
          <w:szCs w:val="24"/>
          <w:lang w:eastAsia="zh-CN"/>
        </w:rPr>
        <w:t xml:space="preserve"> risk diversification is considered to be a good portfolio in stock market </w:t>
      </w:r>
      <w:r w:rsidR="00C178B8">
        <w:rPr>
          <w:rFonts w:eastAsiaTheme="minorEastAsia"/>
          <w:sz w:val="24"/>
          <w:szCs w:val="24"/>
          <w:lang w:eastAsia="zh-CN"/>
        </w:rPr>
        <w:t xml:space="preserve">because of its high risk resistance capacity, especially </w:t>
      </w:r>
      <w:r w:rsidR="00A50CAD">
        <w:rPr>
          <w:rFonts w:eastAsiaTheme="minorEastAsia"/>
          <w:sz w:val="24"/>
          <w:szCs w:val="24"/>
          <w:lang w:eastAsia="zh-CN"/>
        </w:rPr>
        <w:t>after the global financial crisis in 2008</w:t>
      </w:r>
      <w:r w:rsidR="00D816D4">
        <w:rPr>
          <w:rFonts w:eastAsiaTheme="minorEastAsia"/>
          <w:sz w:val="24"/>
          <w:szCs w:val="24"/>
          <w:lang w:eastAsia="zh-CN"/>
        </w:rPr>
        <w:t>[2]</w:t>
      </w:r>
      <w:r w:rsidR="003D5F5C">
        <w:rPr>
          <w:rFonts w:eastAsiaTheme="minorEastAsia"/>
          <w:sz w:val="24"/>
          <w:szCs w:val="24"/>
          <w:lang w:eastAsia="zh-CN"/>
        </w:rPr>
        <w:t>.</w:t>
      </w:r>
      <w:r w:rsidR="003D5F5C" w:rsidRPr="003D5F5C">
        <w:rPr>
          <w:rFonts w:eastAsiaTheme="minorEastAsia"/>
          <w:sz w:val="24"/>
          <w:szCs w:val="24"/>
          <w:lang w:eastAsia="zh-CN"/>
        </w:rPr>
        <w:t xml:space="preserve"> </w:t>
      </w:r>
      <w:r w:rsidR="003D5F5C">
        <w:rPr>
          <w:rFonts w:eastAsiaTheme="minorEastAsia"/>
          <w:sz w:val="24"/>
          <w:szCs w:val="24"/>
          <w:lang w:eastAsia="zh-CN"/>
        </w:rPr>
        <w:t>In this report,</w:t>
      </w:r>
      <w:r w:rsidR="00772908">
        <w:rPr>
          <w:rFonts w:eastAsiaTheme="minorEastAsia"/>
          <w:sz w:val="24"/>
          <w:szCs w:val="24"/>
          <w:lang w:eastAsia="zh-CN"/>
        </w:rPr>
        <w:t xml:space="preserve"> we </w:t>
      </w:r>
      <w:r w:rsidR="00102363">
        <w:rPr>
          <w:rFonts w:eastAsiaTheme="minorEastAsia"/>
          <w:sz w:val="24"/>
          <w:szCs w:val="24"/>
          <w:lang w:eastAsia="zh-CN"/>
        </w:rPr>
        <w:t>try</w:t>
      </w:r>
      <w:r w:rsidR="00772908">
        <w:rPr>
          <w:rFonts w:eastAsiaTheme="minorEastAsia"/>
          <w:sz w:val="24"/>
          <w:szCs w:val="24"/>
          <w:lang w:eastAsia="zh-CN"/>
        </w:rPr>
        <w:t xml:space="preserve"> to use PCA to find the main components of the stock market </w:t>
      </w:r>
      <w:r w:rsidR="003D5F5C">
        <w:rPr>
          <w:rFonts w:eastAsiaTheme="minorEastAsia"/>
          <w:sz w:val="24"/>
          <w:szCs w:val="24"/>
          <w:lang w:eastAsia="zh-CN"/>
        </w:rPr>
        <w:t>(Australian market) to represent uncorrelated risk sources</w:t>
      </w:r>
      <w:r w:rsidR="005B7D89">
        <w:rPr>
          <w:rFonts w:eastAsiaTheme="minorEastAsia"/>
          <w:sz w:val="24"/>
          <w:szCs w:val="24"/>
          <w:lang w:eastAsia="zh-CN"/>
        </w:rPr>
        <w:t xml:space="preserve">, and then use these results to construct four different portfolios with strategies </w:t>
      </w:r>
      <w:r w:rsidR="003F4796">
        <w:rPr>
          <w:rFonts w:eastAsiaTheme="minorEastAsia"/>
          <w:sz w:val="24"/>
          <w:szCs w:val="24"/>
          <w:lang w:eastAsia="zh-CN"/>
        </w:rPr>
        <w:t>including “Stock investment with equal weight</w:t>
      </w:r>
      <w:r w:rsidR="00121D1F">
        <w:rPr>
          <w:rFonts w:eastAsiaTheme="minorEastAsia"/>
          <w:sz w:val="24"/>
          <w:szCs w:val="24"/>
          <w:lang w:eastAsia="zh-CN"/>
        </w:rPr>
        <w:t xml:space="preserve"> (EWS)</w:t>
      </w:r>
      <w:r w:rsidR="003F4796">
        <w:rPr>
          <w:rFonts w:eastAsiaTheme="minorEastAsia"/>
          <w:sz w:val="24"/>
          <w:szCs w:val="24"/>
          <w:lang w:eastAsia="zh-CN"/>
        </w:rPr>
        <w:t>”, “Risk Parity</w:t>
      </w:r>
      <w:r w:rsidR="00121D1F">
        <w:rPr>
          <w:rFonts w:eastAsiaTheme="minorEastAsia"/>
          <w:sz w:val="24"/>
          <w:szCs w:val="24"/>
          <w:lang w:eastAsia="zh-CN"/>
        </w:rPr>
        <w:t xml:space="preserve"> (RE)</w:t>
      </w:r>
      <w:r w:rsidR="003F4796">
        <w:rPr>
          <w:rFonts w:eastAsiaTheme="minorEastAsia"/>
          <w:sz w:val="24"/>
          <w:szCs w:val="24"/>
          <w:lang w:eastAsia="zh-CN"/>
        </w:rPr>
        <w:t>”, “Equal Wight Portfolio</w:t>
      </w:r>
      <w:r w:rsidR="00121D1F">
        <w:rPr>
          <w:rFonts w:eastAsiaTheme="minorEastAsia"/>
          <w:sz w:val="24"/>
          <w:szCs w:val="24"/>
          <w:lang w:eastAsia="zh-CN"/>
        </w:rPr>
        <w:t xml:space="preserve"> (EWP)</w:t>
      </w:r>
      <w:r w:rsidR="003F4796">
        <w:rPr>
          <w:rFonts w:eastAsiaTheme="minorEastAsia"/>
          <w:sz w:val="24"/>
          <w:szCs w:val="24"/>
          <w:lang w:eastAsia="zh-CN"/>
        </w:rPr>
        <w:t>” and “Diversified Risk Parity</w:t>
      </w:r>
      <w:r w:rsidR="00121D1F">
        <w:rPr>
          <w:rFonts w:eastAsiaTheme="minorEastAsia"/>
          <w:sz w:val="24"/>
          <w:szCs w:val="24"/>
          <w:lang w:eastAsia="zh-CN"/>
        </w:rPr>
        <w:t xml:space="preserve"> (DRP)</w:t>
      </w:r>
      <w:r w:rsidR="003F4796">
        <w:rPr>
          <w:rFonts w:eastAsiaTheme="minorEastAsia"/>
          <w:sz w:val="24"/>
          <w:szCs w:val="24"/>
          <w:lang w:eastAsia="zh-CN"/>
        </w:rPr>
        <w:t>” to do the comparison.</w:t>
      </w:r>
    </w:p>
    <w:p w:rsidR="003F4796" w:rsidRPr="003F4796" w:rsidRDefault="003F4796" w:rsidP="003F4796">
      <w:pPr>
        <w:ind w:firstLine="0"/>
        <w:rPr>
          <w:rFonts w:eastAsiaTheme="minorEastAsia" w:hint="eastAsia"/>
          <w:lang w:eastAsia="zh-CN"/>
        </w:rPr>
      </w:pPr>
    </w:p>
    <w:p w:rsidR="00925816" w:rsidRPr="008B2054" w:rsidRDefault="00925816" w:rsidP="009C67B8">
      <w:pPr>
        <w:spacing w:line="480" w:lineRule="auto"/>
        <w:ind w:firstLine="0"/>
        <w:jc w:val="center"/>
        <w:rPr>
          <w:rFonts w:eastAsiaTheme="minorEastAsia"/>
          <w:sz w:val="24"/>
          <w:szCs w:val="24"/>
        </w:rPr>
      </w:pPr>
    </w:p>
    <w:p w:rsidR="006745E2" w:rsidRDefault="00DE124F" w:rsidP="009C67B8">
      <w:pPr>
        <w:pStyle w:val="heading1"/>
        <w:spacing w:line="480" w:lineRule="auto"/>
        <w:rPr>
          <w:sz w:val="28"/>
        </w:rPr>
      </w:pPr>
      <w:r>
        <w:rPr>
          <w:sz w:val="28"/>
        </w:rPr>
        <w:lastRenderedPageBreak/>
        <w:t>Theory</w:t>
      </w:r>
    </w:p>
    <w:p w:rsidR="00745ED1" w:rsidRDefault="00C8351E" w:rsidP="00745ED1">
      <w:pPr>
        <w:spacing w:line="480" w:lineRule="auto"/>
        <w:ind w:firstLineChars="100" w:firstLine="240"/>
        <w:rPr>
          <w:rFonts w:eastAsiaTheme="minorEastAsia"/>
          <w:sz w:val="24"/>
          <w:lang w:eastAsia="zh-CN"/>
        </w:rPr>
      </w:pPr>
      <w:r>
        <w:rPr>
          <w:rFonts w:eastAsiaTheme="minorEastAsia" w:hint="eastAsia"/>
          <w:sz w:val="24"/>
          <w:lang w:eastAsia="zh-CN"/>
        </w:rPr>
        <w:t xml:space="preserve">We </w:t>
      </w:r>
      <w:r>
        <w:rPr>
          <w:rFonts w:eastAsiaTheme="minorEastAsia"/>
          <w:sz w:val="24"/>
          <w:lang w:eastAsia="zh-CN"/>
        </w:rPr>
        <w:t>investigate</w:t>
      </w:r>
      <w:r>
        <w:rPr>
          <w:rFonts w:eastAsiaTheme="minorEastAsia" w:hint="eastAsia"/>
          <w:sz w:val="24"/>
          <w:lang w:eastAsia="zh-CN"/>
        </w:rPr>
        <w:t xml:space="preserve"> </w:t>
      </w:r>
      <w:r>
        <w:rPr>
          <w:rFonts w:eastAsiaTheme="minorEastAsia"/>
          <w:sz w:val="24"/>
          <w:lang w:eastAsia="zh-CN"/>
        </w:rPr>
        <w:t>the constituents of the ASX200 index from Septem</w:t>
      </w:r>
      <w:r w:rsidR="00A439C0">
        <w:rPr>
          <w:rFonts w:eastAsiaTheme="minorEastAsia"/>
          <w:sz w:val="24"/>
          <w:lang w:eastAsia="zh-CN"/>
        </w:rPr>
        <w:t>b</w:t>
      </w:r>
      <w:r>
        <w:rPr>
          <w:rFonts w:eastAsiaTheme="minorEastAsia"/>
          <w:sz w:val="24"/>
          <w:lang w:eastAsia="zh-CN"/>
        </w:rPr>
        <w:t xml:space="preserve">er 2003 to November 2021 </w:t>
      </w:r>
      <w:r w:rsidR="00A439C0">
        <w:rPr>
          <w:rFonts w:eastAsiaTheme="minorEastAsia"/>
          <w:sz w:val="24"/>
          <w:lang w:eastAsia="zh-CN"/>
        </w:rPr>
        <w:t>kept</w:t>
      </w:r>
      <w:r>
        <w:rPr>
          <w:rFonts w:eastAsiaTheme="minorEastAsia"/>
          <w:sz w:val="24"/>
          <w:lang w:eastAsia="zh-CN"/>
        </w:rPr>
        <w:t xml:space="preserve"> in it for the whole study period. After cleaning the data, we finally get </w:t>
      </w:r>
      <w:r w:rsidR="0060328F">
        <w:rPr>
          <w:rFonts w:eastAsiaTheme="minorEastAsia"/>
          <w:sz w:val="24"/>
          <w:lang w:eastAsia="zh-CN"/>
        </w:rPr>
        <w:t xml:space="preserve">only </w:t>
      </w:r>
      <w:r>
        <w:rPr>
          <w:rFonts w:eastAsiaTheme="minorEastAsia"/>
          <w:sz w:val="24"/>
          <w:lang w:eastAsia="zh-CN"/>
        </w:rPr>
        <w:t>66 unique stocks because of the frequently adding and deleting of th</w:t>
      </w:r>
      <w:r w:rsidR="00487867">
        <w:rPr>
          <w:rFonts w:eastAsiaTheme="minorEastAsia"/>
          <w:sz w:val="24"/>
          <w:lang w:eastAsia="zh-CN"/>
        </w:rPr>
        <w:t>e stocks</w:t>
      </w:r>
      <w:r w:rsidR="005A2834">
        <w:rPr>
          <w:rFonts w:eastAsiaTheme="minorEastAsia"/>
          <w:sz w:val="24"/>
          <w:lang w:eastAsia="zh-CN"/>
        </w:rPr>
        <w:t>[3]</w:t>
      </w:r>
      <w:r w:rsidR="00487867">
        <w:rPr>
          <w:rFonts w:eastAsiaTheme="minorEastAsia"/>
          <w:sz w:val="24"/>
          <w:lang w:eastAsia="zh-CN"/>
        </w:rPr>
        <w:t xml:space="preserve">. </w:t>
      </w:r>
      <w:r w:rsidR="008D13EE">
        <w:rPr>
          <w:rFonts w:eastAsiaTheme="minorEastAsia"/>
          <w:sz w:val="24"/>
          <w:lang w:eastAsia="zh-CN"/>
        </w:rPr>
        <w:t>We use the closing prices</w:t>
      </w:r>
      <w:r w:rsidR="008D13EE" w:rsidRPr="008D13EE">
        <w:rPr>
          <w:rFonts w:eastAsiaTheme="minorEastAsia"/>
          <w:i/>
          <w:sz w:val="24"/>
          <w:lang w:eastAsia="zh-CN"/>
        </w:rPr>
        <w:t xml:space="preserve"> </w:t>
      </w:r>
      <m:oMath>
        <m:r>
          <w:rPr>
            <w:rFonts w:ascii="Cambria Math" w:eastAsiaTheme="minorEastAsia" w:hAnsi="Cambria Math"/>
            <w:sz w:val="24"/>
            <w:lang w:eastAsia="zh-CN"/>
          </w:rPr>
          <m:t>P</m:t>
        </m:r>
      </m:oMath>
      <w:r w:rsidR="008D13EE">
        <w:rPr>
          <w:rFonts w:eastAsiaTheme="minorEastAsia"/>
          <w:sz w:val="24"/>
          <w:lang w:eastAsia="zh-CN"/>
        </w:rPr>
        <w:t xml:space="preserve"> to calculate the return r</w:t>
      </w:r>
      <w:r w:rsidR="00FD6F73">
        <w:rPr>
          <w:rFonts w:eastAsiaTheme="minorEastAsia"/>
          <w:sz w:val="24"/>
          <w:lang w:eastAsia="zh-CN"/>
        </w:rPr>
        <w:t xml:space="preserve">. The PCA is then performed on the correlation matrix of the return series since using a covariance matrix will lead to the small number of principal components dominated by variables with large variance, which </w:t>
      </w:r>
      <w:r w:rsidR="00745ED1">
        <w:rPr>
          <w:rFonts w:eastAsiaTheme="minorEastAsia"/>
          <w:sz w:val="24"/>
          <w:lang w:eastAsia="zh-CN"/>
        </w:rPr>
        <w:t>ha</w:t>
      </w:r>
      <w:r w:rsidR="00FD6F73">
        <w:rPr>
          <w:rFonts w:eastAsiaTheme="minorEastAsia"/>
          <w:sz w:val="24"/>
          <w:lang w:eastAsia="zh-CN"/>
        </w:rPr>
        <w:t xml:space="preserve">s </w:t>
      </w:r>
      <w:r w:rsidR="00745ED1">
        <w:rPr>
          <w:rFonts w:eastAsiaTheme="minorEastAsia"/>
          <w:sz w:val="24"/>
          <w:lang w:eastAsia="zh-CN"/>
        </w:rPr>
        <w:t xml:space="preserve">a bad effect on diversifying the market risk. </w:t>
      </w:r>
    </w:p>
    <w:p w:rsidR="00CD6D01" w:rsidRPr="0060328F" w:rsidRDefault="00CD6D01" w:rsidP="00CD6D01">
      <w:pPr>
        <w:pStyle w:val="tablecaption"/>
        <w:spacing w:line="480" w:lineRule="auto"/>
      </w:pPr>
      <w:r w:rsidRPr="0060328F">
        <w:rPr>
          <w:b/>
        </w:rPr>
        <w:t xml:space="preserve">Table </w:t>
      </w:r>
      <w:r w:rsidRPr="0060328F">
        <w:rPr>
          <w:b/>
        </w:rPr>
        <w:fldChar w:fldCharType="begin"/>
      </w:r>
      <w:r w:rsidRPr="0060328F">
        <w:rPr>
          <w:b/>
        </w:rPr>
        <w:instrText xml:space="preserve"> SEQ "Table" \* MERGEFORMAT </w:instrText>
      </w:r>
      <w:r w:rsidRPr="0060328F">
        <w:rPr>
          <w:b/>
        </w:rPr>
        <w:fldChar w:fldCharType="separate"/>
      </w:r>
      <w:r w:rsidR="00C32332">
        <w:rPr>
          <w:b/>
          <w:noProof/>
        </w:rPr>
        <w:t>1</w:t>
      </w:r>
      <w:r w:rsidRPr="0060328F">
        <w:rPr>
          <w:b/>
        </w:rPr>
        <w:fldChar w:fldCharType="end"/>
      </w:r>
      <w:r w:rsidRPr="0060328F">
        <w:rPr>
          <w:b/>
        </w:rPr>
        <w:t>.</w:t>
      </w:r>
      <w:r w:rsidRPr="0060328F">
        <w:t xml:space="preserve"> </w:t>
      </w:r>
      <w:r>
        <w:t>The 10 components with eigenvalue larger than 1</w:t>
      </w:r>
    </w:p>
    <w:tbl>
      <w:tblPr>
        <w:tblW w:w="7512" w:type="dxa"/>
        <w:jc w:val="center"/>
        <w:tblLayout w:type="fixed"/>
        <w:tblCellMar>
          <w:left w:w="70" w:type="dxa"/>
          <w:right w:w="70" w:type="dxa"/>
        </w:tblCellMar>
        <w:tblLook w:val="0000" w:firstRow="0" w:lastRow="0" w:firstColumn="0" w:lastColumn="0" w:noHBand="0" w:noVBand="0"/>
      </w:tblPr>
      <w:tblGrid>
        <w:gridCol w:w="1276"/>
        <w:gridCol w:w="1448"/>
        <w:gridCol w:w="1244"/>
        <w:gridCol w:w="1276"/>
        <w:gridCol w:w="1134"/>
        <w:gridCol w:w="1134"/>
      </w:tblGrid>
      <w:tr w:rsidR="00CD6D01" w:rsidRPr="0060328F" w:rsidTr="00CD6D01">
        <w:trPr>
          <w:trHeight w:val="373"/>
          <w:jc w:val="center"/>
        </w:trPr>
        <w:tc>
          <w:tcPr>
            <w:tcW w:w="1276" w:type="dxa"/>
            <w:tcBorders>
              <w:top w:val="single" w:sz="12" w:space="0" w:color="000000"/>
              <w:bottom w:val="single" w:sz="6" w:space="0" w:color="000000"/>
            </w:tcBorders>
          </w:tcPr>
          <w:p w:rsidR="00CD6D01" w:rsidRPr="0060328F" w:rsidRDefault="00CD6D01" w:rsidP="00C67ADC">
            <w:pPr>
              <w:spacing w:line="480" w:lineRule="auto"/>
              <w:ind w:firstLine="0"/>
              <w:jc w:val="center"/>
              <w:rPr>
                <w:sz w:val="18"/>
                <w:szCs w:val="18"/>
              </w:rPr>
            </w:pPr>
            <w:r>
              <w:rPr>
                <w:sz w:val="18"/>
                <w:szCs w:val="18"/>
              </w:rPr>
              <w:t>component</w:t>
            </w:r>
          </w:p>
        </w:tc>
        <w:tc>
          <w:tcPr>
            <w:tcW w:w="1448" w:type="dxa"/>
            <w:tcBorders>
              <w:top w:val="single" w:sz="12" w:space="0" w:color="000000"/>
              <w:bottom w:val="single" w:sz="6" w:space="0" w:color="000000"/>
            </w:tcBorders>
          </w:tcPr>
          <w:p w:rsidR="00CD6D01" w:rsidRPr="0060328F" w:rsidRDefault="00CD6D01" w:rsidP="00C67ADC">
            <w:pPr>
              <w:spacing w:line="480" w:lineRule="auto"/>
              <w:ind w:firstLine="0"/>
              <w:jc w:val="center"/>
              <w:rPr>
                <w:sz w:val="18"/>
                <w:szCs w:val="18"/>
              </w:rPr>
            </w:pPr>
            <w:r>
              <w:rPr>
                <w:sz w:val="18"/>
                <w:szCs w:val="18"/>
              </w:rPr>
              <w:t>1</w:t>
            </w:r>
          </w:p>
        </w:tc>
        <w:tc>
          <w:tcPr>
            <w:tcW w:w="1244" w:type="dxa"/>
            <w:tcBorders>
              <w:top w:val="single" w:sz="12" w:space="0" w:color="000000"/>
              <w:bottom w:val="single" w:sz="6" w:space="0" w:color="000000"/>
            </w:tcBorders>
          </w:tcPr>
          <w:p w:rsidR="00CD6D01" w:rsidRPr="0060328F" w:rsidRDefault="00CD6D01" w:rsidP="00C67ADC">
            <w:pPr>
              <w:spacing w:line="480" w:lineRule="auto"/>
              <w:ind w:firstLine="0"/>
              <w:jc w:val="center"/>
              <w:rPr>
                <w:sz w:val="18"/>
                <w:szCs w:val="18"/>
              </w:rPr>
            </w:pPr>
            <w:r>
              <w:rPr>
                <w:sz w:val="18"/>
                <w:szCs w:val="18"/>
              </w:rPr>
              <w:t>2</w:t>
            </w:r>
          </w:p>
        </w:tc>
        <w:tc>
          <w:tcPr>
            <w:tcW w:w="1276" w:type="dxa"/>
            <w:tcBorders>
              <w:top w:val="single" w:sz="12" w:space="0" w:color="000000"/>
              <w:bottom w:val="single" w:sz="6" w:space="0" w:color="000000"/>
            </w:tcBorders>
          </w:tcPr>
          <w:p w:rsidR="00CD6D01" w:rsidRPr="0060328F" w:rsidRDefault="00CD6D01" w:rsidP="00C67ADC">
            <w:pPr>
              <w:spacing w:line="480" w:lineRule="auto"/>
              <w:ind w:firstLine="0"/>
              <w:jc w:val="center"/>
              <w:rPr>
                <w:rFonts w:eastAsiaTheme="minorEastAsia" w:hint="eastAsia"/>
                <w:sz w:val="18"/>
                <w:szCs w:val="18"/>
                <w:lang w:eastAsia="zh-CN"/>
              </w:rPr>
            </w:pPr>
            <w:r>
              <w:rPr>
                <w:rFonts w:eastAsiaTheme="minorEastAsia"/>
                <w:sz w:val="18"/>
                <w:szCs w:val="18"/>
                <w:lang w:eastAsia="zh-CN"/>
              </w:rPr>
              <w:t>3</w:t>
            </w:r>
          </w:p>
        </w:tc>
        <w:tc>
          <w:tcPr>
            <w:tcW w:w="1134" w:type="dxa"/>
            <w:tcBorders>
              <w:top w:val="single" w:sz="12" w:space="0" w:color="000000"/>
              <w:bottom w:val="single" w:sz="6" w:space="0" w:color="000000"/>
            </w:tcBorders>
          </w:tcPr>
          <w:p w:rsidR="00CD6D01" w:rsidRPr="0060328F" w:rsidRDefault="00CD6D01" w:rsidP="00C67ADC">
            <w:pPr>
              <w:spacing w:line="480" w:lineRule="auto"/>
              <w:ind w:firstLine="0"/>
              <w:jc w:val="center"/>
              <w:rPr>
                <w:rFonts w:eastAsiaTheme="minorEastAsia" w:hint="eastAsia"/>
                <w:sz w:val="18"/>
                <w:szCs w:val="18"/>
                <w:lang w:eastAsia="zh-CN"/>
              </w:rPr>
            </w:pPr>
            <w:r>
              <w:rPr>
                <w:rFonts w:eastAsiaTheme="minorEastAsia"/>
                <w:sz w:val="18"/>
                <w:szCs w:val="18"/>
                <w:lang w:eastAsia="zh-CN"/>
              </w:rPr>
              <w:t>4</w:t>
            </w:r>
          </w:p>
        </w:tc>
        <w:tc>
          <w:tcPr>
            <w:tcW w:w="1134" w:type="dxa"/>
            <w:tcBorders>
              <w:top w:val="single" w:sz="12" w:space="0" w:color="000000"/>
              <w:bottom w:val="single" w:sz="6" w:space="0" w:color="000000"/>
            </w:tcBorders>
          </w:tcPr>
          <w:p w:rsidR="00CD6D01" w:rsidRPr="0060328F" w:rsidRDefault="00CD6D01" w:rsidP="00C67ADC">
            <w:pPr>
              <w:spacing w:line="480" w:lineRule="auto"/>
              <w:ind w:firstLine="0"/>
              <w:jc w:val="center"/>
              <w:rPr>
                <w:rFonts w:eastAsiaTheme="minorEastAsia"/>
                <w:sz w:val="18"/>
                <w:szCs w:val="18"/>
                <w:lang w:eastAsia="zh-CN"/>
              </w:rPr>
            </w:pPr>
            <w:r>
              <w:rPr>
                <w:rFonts w:eastAsiaTheme="minorEastAsia" w:hint="eastAsia"/>
                <w:sz w:val="18"/>
                <w:szCs w:val="18"/>
                <w:lang w:eastAsia="zh-CN"/>
              </w:rPr>
              <w:t>5</w:t>
            </w:r>
          </w:p>
        </w:tc>
      </w:tr>
      <w:tr w:rsidR="00CD6D01" w:rsidRPr="0060328F" w:rsidTr="00CD6D01">
        <w:trPr>
          <w:trHeight w:val="284"/>
          <w:jc w:val="center"/>
        </w:trPr>
        <w:tc>
          <w:tcPr>
            <w:tcW w:w="1276" w:type="dxa"/>
            <w:vAlign w:val="center"/>
          </w:tcPr>
          <w:p w:rsidR="00CD6D01" w:rsidRPr="0060328F" w:rsidRDefault="00CD6D01" w:rsidP="00C67ADC">
            <w:pPr>
              <w:spacing w:line="480" w:lineRule="auto"/>
              <w:ind w:firstLine="0"/>
              <w:jc w:val="center"/>
              <w:rPr>
                <w:sz w:val="18"/>
                <w:szCs w:val="18"/>
              </w:rPr>
            </w:pPr>
            <w:r>
              <w:rPr>
                <w:sz w:val="18"/>
                <w:szCs w:val="18"/>
              </w:rPr>
              <w:t>eigenvalue</w:t>
            </w:r>
          </w:p>
        </w:tc>
        <w:tc>
          <w:tcPr>
            <w:tcW w:w="1448" w:type="dxa"/>
            <w:vAlign w:val="center"/>
          </w:tcPr>
          <w:p w:rsidR="00CD6D01" w:rsidRPr="0060328F" w:rsidRDefault="00CD6D01" w:rsidP="00C67ADC">
            <w:pPr>
              <w:spacing w:line="480" w:lineRule="auto"/>
              <w:ind w:firstLine="0"/>
              <w:jc w:val="center"/>
              <w:rPr>
                <w:rFonts w:eastAsiaTheme="minorEastAsia" w:hint="eastAsia"/>
                <w:sz w:val="18"/>
                <w:szCs w:val="18"/>
                <w:lang w:eastAsia="zh-CN"/>
              </w:rPr>
            </w:pPr>
            <w:r w:rsidRPr="00CD6D01">
              <w:rPr>
                <w:rFonts w:eastAsiaTheme="minorEastAsia"/>
                <w:sz w:val="18"/>
                <w:szCs w:val="18"/>
                <w:lang w:eastAsia="zh-CN"/>
              </w:rPr>
              <w:t>19.41182993</w:t>
            </w:r>
          </w:p>
        </w:tc>
        <w:tc>
          <w:tcPr>
            <w:tcW w:w="1244" w:type="dxa"/>
            <w:vAlign w:val="center"/>
          </w:tcPr>
          <w:p w:rsidR="00CD6D01" w:rsidRPr="0060328F" w:rsidRDefault="00CD6D01" w:rsidP="00C67ADC">
            <w:pPr>
              <w:spacing w:line="480" w:lineRule="auto"/>
              <w:ind w:firstLine="0"/>
              <w:jc w:val="center"/>
              <w:rPr>
                <w:sz w:val="18"/>
                <w:szCs w:val="18"/>
              </w:rPr>
            </w:pPr>
            <w:r w:rsidRPr="00CD6D01">
              <w:rPr>
                <w:sz w:val="18"/>
                <w:szCs w:val="18"/>
              </w:rPr>
              <w:t>4.141725196</w:t>
            </w:r>
          </w:p>
        </w:tc>
        <w:tc>
          <w:tcPr>
            <w:tcW w:w="1276" w:type="dxa"/>
          </w:tcPr>
          <w:p w:rsidR="00CD6D01" w:rsidRPr="0060328F" w:rsidRDefault="00CD6D01" w:rsidP="00C67ADC">
            <w:pPr>
              <w:spacing w:line="480" w:lineRule="auto"/>
              <w:ind w:firstLine="0"/>
              <w:jc w:val="center"/>
              <w:rPr>
                <w:rFonts w:eastAsiaTheme="minorEastAsia" w:hint="eastAsia"/>
                <w:sz w:val="18"/>
                <w:szCs w:val="18"/>
                <w:lang w:eastAsia="zh-CN"/>
              </w:rPr>
            </w:pPr>
            <w:r w:rsidRPr="00CD6D01">
              <w:rPr>
                <w:rFonts w:eastAsiaTheme="minorEastAsia"/>
                <w:sz w:val="18"/>
                <w:szCs w:val="18"/>
                <w:lang w:eastAsia="zh-CN"/>
              </w:rPr>
              <w:t>2.559374381</w:t>
            </w:r>
          </w:p>
        </w:tc>
        <w:tc>
          <w:tcPr>
            <w:tcW w:w="1134" w:type="dxa"/>
          </w:tcPr>
          <w:p w:rsidR="00CD6D01" w:rsidRPr="0060328F" w:rsidRDefault="00CD6D01" w:rsidP="00C67ADC">
            <w:pPr>
              <w:spacing w:line="480" w:lineRule="auto"/>
              <w:ind w:firstLine="0"/>
              <w:jc w:val="center"/>
              <w:rPr>
                <w:rFonts w:eastAsiaTheme="minorEastAsia" w:hint="eastAsia"/>
                <w:sz w:val="18"/>
                <w:szCs w:val="18"/>
                <w:lang w:eastAsia="zh-CN"/>
              </w:rPr>
            </w:pPr>
            <w:r w:rsidRPr="00CD6D01">
              <w:rPr>
                <w:rFonts w:eastAsiaTheme="minorEastAsia"/>
                <w:sz w:val="18"/>
                <w:szCs w:val="18"/>
                <w:lang w:eastAsia="zh-CN"/>
              </w:rPr>
              <w:t>1.802498243</w:t>
            </w:r>
          </w:p>
        </w:tc>
        <w:tc>
          <w:tcPr>
            <w:tcW w:w="1134" w:type="dxa"/>
          </w:tcPr>
          <w:p w:rsidR="00CD6D01" w:rsidRPr="0060328F" w:rsidRDefault="00CD6D01" w:rsidP="00C67ADC">
            <w:pPr>
              <w:spacing w:line="480" w:lineRule="auto"/>
              <w:ind w:firstLine="0"/>
              <w:jc w:val="center"/>
              <w:rPr>
                <w:rFonts w:eastAsiaTheme="minorEastAsia" w:hint="eastAsia"/>
                <w:sz w:val="18"/>
                <w:szCs w:val="18"/>
                <w:lang w:eastAsia="zh-CN"/>
              </w:rPr>
            </w:pPr>
            <w:r w:rsidRPr="00CD6D01">
              <w:rPr>
                <w:rFonts w:eastAsiaTheme="minorEastAsia"/>
                <w:sz w:val="18"/>
                <w:szCs w:val="18"/>
                <w:lang w:eastAsia="zh-CN"/>
              </w:rPr>
              <w:t>1.46310926</w:t>
            </w:r>
          </w:p>
        </w:tc>
      </w:tr>
      <w:tr w:rsidR="00CD6D01" w:rsidRPr="0060328F" w:rsidTr="00CD6D01">
        <w:trPr>
          <w:trHeight w:val="284"/>
          <w:jc w:val="center"/>
        </w:trPr>
        <w:tc>
          <w:tcPr>
            <w:tcW w:w="1276" w:type="dxa"/>
            <w:vAlign w:val="center"/>
          </w:tcPr>
          <w:p w:rsidR="00CD6D01" w:rsidRPr="0060328F" w:rsidRDefault="00CD6D01" w:rsidP="00C67ADC">
            <w:pPr>
              <w:spacing w:line="480" w:lineRule="auto"/>
              <w:ind w:firstLine="0"/>
              <w:jc w:val="center"/>
              <w:rPr>
                <w:sz w:val="18"/>
                <w:szCs w:val="18"/>
              </w:rPr>
            </w:pPr>
            <w:r>
              <w:rPr>
                <w:sz w:val="18"/>
                <w:szCs w:val="18"/>
              </w:rPr>
              <w:t>component</w:t>
            </w:r>
          </w:p>
        </w:tc>
        <w:tc>
          <w:tcPr>
            <w:tcW w:w="1448" w:type="dxa"/>
            <w:vAlign w:val="center"/>
          </w:tcPr>
          <w:p w:rsidR="00CD6D01" w:rsidRPr="0060328F" w:rsidRDefault="00CD6D01" w:rsidP="00C67ADC">
            <w:pPr>
              <w:spacing w:line="480" w:lineRule="auto"/>
              <w:ind w:firstLine="0"/>
              <w:jc w:val="center"/>
              <w:rPr>
                <w:rFonts w:eastAsiaTheme="minorEastAsia" w:hint="eastAsia"/>
                <w:sz w:val="18"/>
                <w:szCs w:val="18"/>
                <w:lang w:eastAsia="zh-CN"/>
              </w:rPr>
            </w:pPr>
            <w:r>
              <w:rPr>
                <w:rFonts w:eastAsiaTheme="minorEastAsia"/>
                <w:sz w:val="18"/>
                <w:szCs w:val="18"/>
                <w:lang w:eastAsia="zh-CN"/>
              </w:rPr>
              <w:t>6</w:t>
            </w:r>
          </w:p>
        </w:tc>
        <w:tc>
          <w:tcPr>
            <w:tcW w:w="1244" w:type="dxa"/>
            <w:vAlign w:val="center"/>
          </w:tcPr>
          <w:p w:rsidR="00CD6D01" w:rsidRPr="0060328F" w:rsidRDefault="00CD6D01" w:rsidP="00C67ADC">
            <w:pPr>
              <w:spacing w:line="480" w:lineRule="auto"/>
              <w:ind w:firstLine="0"/>
              <w:jc w:val="center"/>
              <w:rPr>
                <w:sz w:val="18"/>
                <w:szCs w:val="18"/>
              </w:rPr>
            </w:pPr>
            <w:r>
              <w:rPr>
                <w:sz w:val="18"/>
                <w:szCs w:val="18"/>
              </w:rPr>
              <w:t>7</w:t>
            </w:r>
          </w:p>
        </w:tc>
        <w:tc>
          <w:tcPr>
            <w:tcW w:w="1276" w:type="dxa"/>
          </w:tcPr>
          <w:p w:rsidR="00CD6D01" w:rsidRPr="0060328F" w:rsidRDefault="00CD6D01" w:rsidP="00C67ADC">
            <w:pPr>
              <w:spacing w:line="480" w:lineRule="auto"/>
              <w:ind w:firstLine="0"/>
              <w:jc w:val="center"/>
              <w:rPr>
                <w:rFonts w:eastAsiaTheme="minorEastAsia" w:hint="eastAsia"/>
                <w:sz w:val="18"/>
                <w:szCs w:val="18"/>
                <w:lang w:eastAsia="zh-CN"/>
              </w:rPr>
            </w:pPr>
            <w:r>
              <w:rPr>
                <w:rFonts w:eastAsiaTheme="minorEastAsia"/>
                <w:sz w:val="18"/>
                <w:szCs w:val="18"/>
                <w:lang w:eastAsia="zh-CN"/>
              </w:rPr>
              <w:t>8</w:t>
            </w:r>
          </w:p>
        </w:tc>
        <w:tc>
          <w:tcPr>
            <w:tcW w:w="1134" w:type="dxa"/>
          </w:tcPr>
          <w:p w:rsidR="00CD6D01" w:rsidRPr="0060328F" w:rsidRDefault="00CD6D01" w:rsidP="00C67ADC">
            <w:pPr>
              <w:spacing w:line="480" w:lineRule="auto"/>
              <w:ind w:firstLine="0"/>
              <w:jc w:val="center"/>
              <w:rPr>
                <w:rFonts w:eastAsiaTheme="minorEastAsia" w:hint="eastAsia"/>
                <w:sz w:val="18"/>
                <w:szCs w:val="18"/>
                <w:lang w:eastAsia="zh-CN"/>
              </w:rPr>
            </w:pPr>
            <w:r>
              <w:rPr>
                <w:rFonts w:eastAsiaTheme="minorEastAsia"/>
                <w:sz w:val="18"/>
                <w:szCs w:val="18"/>
                <w:lang w:eastAsia="zh-CN"/>
              </w:rPr>
              <w:t>9</w:t>
            </w:r>
          </w:p>
        </w:tc>
        <w:tc>
          <w:tcPr>
            <w:tcW w:w="1134" w:type="dxa"/>
          </w:tcPr>
          <w:p w:rsidR="00CD6D01" w:rsidRPr="0060328F" w:rsidRDefault="00CD6D01" w:rsidP="00C67ADC">
            <w:pPr>
              <w:spacing w:line="480" w:lineRule="auto"/>
              <w:ind w:firstLine="0"/>
              <w:jc w:val="center"/>
              <w:rPr>
                <w:rFonts w:eastAsiaTheme="minorEastAsia" w:hint="eastAsia"/>
                <w:sz w:val="18"/>
                <w:szCs w:val="18"/>
                <w:lang w:eastAsia="zh-CN"/>
              </w:rPr>
            </w:pPr>
            <w:r>
              <w:rPr>
                <w:rFonts w:eastAsiaTheme="minorEastAsia" w:hint="eastAsia"/>
                <w:sz w:val="18"/>
                <w:szCs w:val="18"/>
                <w:lang w:eastAsia="zh-CN"/>
              </w:rPr>
              <w:t>10</w:t>
            </w:r>
          </w:p>
        </w:tc>
      </w:tr>
      <w:tr w:rsidR="00CD6D01" w:rsidRPr="0060328F" w:rsidTr="00CD6D01">
        <w:trPr>
          <w:trHeight w:val="55"/>
          <w:jc w:val="center"/>
        </w:trPr>
        <w:tc>
          <w:tcPr>
            <w:tcW w:w="1276" w:type="dxa"/>
            <w:tcBorders>
              <w:bottom w:val="single" w:sz="12" w:space="0" w:color="000000"/>
            </w:tcBorders>
            <w:vAlign w:val="center"/>
          </w:tcPr>
          <w:p w:rsidR="00CD6D01" w:rsidRPr="00D96B66" w:rsidRDefault="00CD6D01" w:rsidP="00C67ADC">
            <w:pPr>
              <w:spacing w:line="480" w:lineRule="auto"/>
              <w:ind w:firstLine="0"/>
              <w:jc w:val="center"/>
              <w:rPr>
                <w:rFonts w:eastAsiaTheme="minorEastAsia" w:hint="eastAsia"/>
                <w:sz w:val="18"/>
                <w:szCs w:val="18"/>
                <w:lang w:eastAsia="zh-CN"/>
              </w:rPr>
            </w:pPr>
            <w:r>
              <w:rPr>
                <w:sz w:val="18"/>
                <w:szCs w:val="18"/>
              </w:rPr>
              <w:t>eigenvalue</w:t>
            </w:r>
          </w:p>
        </w:tc>
        <w:tc>
          <w:tcPr>
            <w:tcW w:w="1448" w:type="dxa"/>
            <w:tcBorders>
              <w:bottom w:val="single" w:sz="12" w:space="0" w:color="000000"/>
            </w:tcBorders>
            <w:vAlign w:val="center"/>
          </w:tcPr>
          <w:p w:rsidR="00CD6D01" w:rsidRPr="00D96B66" w:rsidRDefault="00CD6D01" w:rsidP="00C67ADC">
            <w:pPr>
              <w:spacing w:line="480" w:lineRule="auto"/>
              <w:ind w:firstLine="0"/>
              <w:jc w:val="center"/>
              <w:rPr>
                <w:rFonts w:eastAsiaTheme="minorEastAsia"/>
                <w:sz w:val="18"/>
                <w:szCs w:val="18"/>
                <w:lang w:eastAsia="zh-CN"/>
              </w:rPr>
            </w:pPr>
            <w:r w:rsidRPr="00CD6D01">
              <w:rPr>
                <w:rFonts w:eastAsiaTheme="minorEastAsia"/>
                <w:sz w:val="18"/>
                <w:szCs w:val="18"/>
                <w:lang w:eastAsia="zh-CN"/>
              </w:rPr>
              <w:t>1.384663399</w:t>
            </w:r>
          </w:p>
        </w:tc>
        <w:tc>
          <w:tcPr>
            <w:tcW w:w="1244" w:type="dxa"/>
            <w:tcBorders>
              <w:bottom w:val="single" w:sz="12" w:space="0" w:color="000000"/>
            </w:tcBorders>
            <w:vAlign w:val="center"/>
          </w:tcPr>
          <w:p w:rsidR="00CD6D01" w:rsidRPr="00D96B66" w:rsidRDefault="00CD6D01" w:rsidP="00CD6D01">
            <w:pPr>
              <w:spacing w:line="480" w:lineRule="auto"/>
              <w:ind w:firstLine="0"/>
              <w:jc w:val="center"/>
              <w:rPr>
                <w:rFonts w:eastAsiaTheme="minorEastAsia" w:hint="eastAsia"/>
                <w:sz w:val="18"/>
                <w:szCs w:val="18"/>
                <w:lang w:eastAsia="zh-CN"/>
              </w:rPr>
            </w:pPr>
            <w:r>
              <w:rPr>
                <w:rFonts w:eastAsiaTheme="minorEastAsia"/>
                <w:sz w:val="18"/>
                <w:szCs w:val="18"/>
                <w:lang w:eastAsia="zh-CN"/>
              </w:rPr>
              <w:t>1.277892387</w:t>
            </w:r>
          </w:p>
        </w:tc>
        <w:tc>
          <w:tcPr>
            <w:tcW w:w="1276" w:type="dxa"/>
            <w:tcBorders>
              <w:bottom w:val="single" w:sz="12" w:space="0" w:color="000000"/>
            </w:tcBorders>
            <w:vAlign w:val="center"/>
          </w:tcPr>
          <w:p w:rsidR="00CD6D01" w:rsidRPr="00D96B66" w:rsidRDefault="00CD6D01" w:rsidP="00CD6D01">
            <w:pPr>
              <w:spacing w:line="480" w:lineRule="auto"/>
              <w:ind w:firstLine="0"/>
              <w:jc w:val="center"/>
              <w:rPr>
                <w:rFonts w:eastAsiaTheme="minorEastAsia" w:hint="eastAsia"/>
                <w:sz w:val="18"/>
                <w:szCs w:val="18"/>
                <w:lang w:eastAsia="zh-CN"/>
              </w:rPr>
            </w:pPr>
            <w:r w:rsidRPr="00CD6D01">
              <w:rPr>
                <w:rFonts w:eastAsiaTheme="minorEastAsia"/>
                <w:sz w:val="18"/>
                <w:szCs w:val="18"/>
                <w:lang w:eastAsia="zh-CN"/>
              </w:rPr>
              <w:t>1.244037328</w:t>
            </w:r>
          </w:p>
        </w:tc>
        <w:tc>
          <w:tcPr>
            <w:tcW w:w="1134" w:type="dxa"/>
            <w:tcBorders>
              <w:bottom w:val="single" w:sz="12" w:space="0" w:color="000000"/>
            </w:tcBorders>
            <w:vAlign w:val="center"/>
          </w:tcPr>
          <w:p w:rsidR="00CD6D01" w:rsidRPr="00D96B66" w:rsidRDefault="00CD6D01" w:rsidP="00CD6D01">
            <w:pPr>
              <w:spacing w:line="480" w:lineRule="auto"/>
              <w:ind w:firstLine="0"/>
              <w:jc w:val="center"/>
              <w:rPr>
                <w:rFonts w:eastAsiaTheme="minorEastAsia" w:hint="eastAsia"/>
                <w:sz w:val="18"/>
                <w:szCs w:val="18"/>
                <w:lang w:eastAsia="zh-CN"/>
              </w:rPr>
            </w:pPr>
            <w:r w:rsidRPr="00CD6D01">
              <w:rPr>
                <w:rFonts w:eastAsiaTheme="minorEastAsia"/>
                <w:sz w:val="18"/>
                <w:szCs w:val="18"/>
                <w:lang w:eastAsia="zh-CN"/>
              </w:rPr>
              <w:t>1.186395071</w:t>
            </w:r>
          </w:p>
        </w:tc>
        <w:tc>
          <w:tcPr>
            <w:tcW w:w="1134" w:type="dxa"/>
            <w:tcBorders>
              <w:bottom w:val="single" w:sz="12" w:space="0" w:color="000000"/>
            </w:tcBorders>
          </w:tcPr>
          <w:p w:rsidR="00CD6D01" w:rsidRPr="00D96B66" w:rsidRDefault="00CD6D01" w:rsidP="00CD6D01">
            <w:pPr>
              <w:spacing w:line="480" w:lineRule="auto"/>
              <w:ind w:firstLine="0"/>
              <w:jc w:val="center"/>
              <w:rPr>
                <w:rFonts w:eastAsiaTheme="minorEastAsia" w:hint="eastAsia"/>
                <w:sz w:val="18"/>
                <w:szCs w:val="18"/>
                <w:lang w:eastAsia="zh-CN"/>
              </w:rPr>
            </w:pPr>
            <w:r w:rsidRPr="00CD6D01">
              <w:rPr>
                <w:rFonts w:eastAsiaTheme="minorEastAsia"/>
                <w:sz w:val="18"/>
                <w:szCs w:val="18"/>
                <w:lang w:eastAsia="zh-CN"/>
              </w:rPr>
              <w:t>1.039942665</w:t>
            </w:r>
          </w:p>
        </w:tc>
      </w:tr>
    </w:tbl>
    <w:p w:rsidR="00CD6D01" w:rsidRDefault="00CD6D01" w:rsidP="00745ED1">
      <w:pPr>
        <w:spacing w:line="480" w:lineRule="auto"/>
        <w:ind w:firstLineChars="100" w:firstLine="240"/>
        <w:rPr>
          <w:rFonts w:eastAsiaTheme="minorEastAsia"/>
          <w:sz w:val="24"/>
          <w:lang w:eastAsia="zh-CN"/>
        </w:rPr>
      </w:pPr>
    </w:p>
    <w:p w:rsidR="00FD6F73" w:rsidRDefault="00745ED1" w:rsidP="00745ED1">
      <w:pPr>
        <w:spacing w:line="480" w:lineRule="auto"/>
        <w:ind w:firstLineChars="100" w:firstLine="240"/>
        <w:rPr>
          <w:rFonts w:eastAsiaTheme="minorEastAsia"/>
          <w:sz w:val="24"/>
          <w:lang w:eastAsia="zh-CN"/>
        </w:rPr>
      </w:pPr>
      <w:r>
        <w:rPr>
          <w:rFonts w:eastAsiaTheme="minorEastAsia"/>
          <w:sz w:val="24"/>
          <w:lang w:eastAsia="zh-CN"/>
        </w:rPr>
        <w:t>After getting the eigenvalues and eigenvectors of the correlation matrix, we start to choose the number of components to retain.</w:t>
      </w:r>
      <w:r w:rsidR="00820140">
        <w:rPr>
          <w:rFonts w:eastAsiaTheme="minorEastAsia"/>
          <w:sz w:val="24"/>
          <w:lang w:eastAsia="zh-CN"/>
        </w:rPr>
        <w:t xml:space="preserve"> We first determine the </w:t>
      </w:r>
      <w:r w:rsidR="001C1A2D">
        <w:rPr>
          <w:rFonts w:eastAsiaTheme="minorEastAsia"/>
          <w:sz w:val="24"/>
          <w:lang w:eastAsia="zh-CN"/>
        </w:rPr>
        <w:t xml:space="preserve">desired </w:t>
      </w:r>
      <w:r w:rsidR="00820140">
        <w:rPr>
          <w:rFonts w:eastAsiaTheme="minorEastAsia"/>
          <w:sz w:val="24"/>
          <w:lang w:eastAsia="zh-CN"/>
        </w:rPr>
        <w:t xml:space="preserve">cumulative variance to be 80% to get the number of main parts, which requires </w:t>
      </w:r>
      <w:r w:rsidR="001C1A2D">
        <w:rPr>
          <w:rFonts w:eastAsiaTheme="minorEastAsia"/>
          <w:sz w:val="24"/>
          <w:lang w:eastAsia="zh-CN"/>
        </w:rPr>
        <w:t>33</w:t>
      </w:r>
      <w:r w:rsidR="00820140">
        <w:rPr>
          <w:rFonts w:eastAsiaTheme="minorEastAsia"/>
          <w:sz w:val="24"/>
          <w:lang w:eastAsia="zh-CN"/>
        </w:rPr>
        <w:t xml:space="preserve"> stocks to be retained, a quite large number. Then we </w:t>
      </w:r>
      <w:r w:rsidR="00D25502">
        <w:rPr>
          <w:rFonts w:eastAsiaTheme="minorEastAsia"/>
          <w:sz w:val="24"/>
          <w:lang w:eastAsia="zh-CN"/>
        </w:rPr>
        <w:t>combine</w:t>
      </w:r>
      <w:r w:rsidR="00820140">
        <w:rPr>
          <w:rFonts w:eastAsiaTheme="minorEastAsia"/>
          <w:sz w:val="24"/>
          <w:lang w:eastAsia="zh-CN"/>
        </w:rPr>
        <w:t xml:space="preserve"> Kaiser’s rule, a scree graph and log-eigenvalue (LEV) </w:t>
      </w:r>
      <w:r w:rsidR="00820140">
        <w:rPr>
          <w:rFonts w:eastAsiaTheme="minorEastAsia"/>
          <w:sz w:val="24"/>
          <w:lang w:eastAsia="zh-CN"/>
        </w:rPr>
        <w:lastRenderedPageBreak/>
        <w:t xml:space="preserve">diagram and finally leave 10 components to represent the </w:t>
      </w:r>
      <w:r w:rsidR="00DB1679">
        <w:rPr>
          <w:rFonts w:eastAsiaTheme="minorEastAsia"/>
          <w:sz w:val="24"/>
          <w:lang w:eastAsia="zh-CN"/>
        </w:rPr>
        <w:t>major risk sources in Australian stock market.</w:t>
      </w:r>
      <w:r w:rsidR="00947C9A">
        <w:rPr>
          <w:rFonts w:eastAsiaTheme="minorEastAsia"/>
          <w:sz w:val="24"/>
          <w:lang w:eastAsia="zh-CN"/>
        </w:rPr>
        <w:t xml:space="preserve"> The first component represents the </w:t>
      </w:r>
      <w:r w:rsidR="003652EE">
        <w:rPr>
          <w:rFonts w:eastAsiaTheme="minorEastAsia"/>
          <w:sz w:val="24"/>
          <w:lang w:eastAsia="zh-CN"/>
        </w:rPr>
        <w:t>risk of the while market, which has the nearly average weight for each stocks. The Bi-plot (Fig. 1) show the relative weights of each stock in components 1 to 10.</w:t>
      </w:r>
    </w:p>
    <w:p w:rsidR="00EB712E" w:rsidRDefault="00EB712E" w:rsidP="00745ED1">
      <w:pPr>
        <w:spacing w:line="480" w:lineRule="auto"/>
        <w:ind w:firstLineChars="100" w:firstLine="240"/>
        <w:rPr>
          <w:rFonts w:eastAsiaTheme="minorEastAsia"/>
          <w:sz w:val="24"/>
          <w:lang w:eastAsia="zh-CN"/>
        </w:rPr>
      </w:pPr>
    </w:p>
    <w:p w:rsidR="00EB712E" w:rsidRDefault="00EB712E" w:rsidP="00EB712E">
      <w:pPr>
        <w:spacing w:line="480" w:lineRule="auto"/>
        <w:ind w:firstLineChars="100" w:firstLine="200"/>
        <w:jc w:val="center"/>
        <w:rPr>
          <w:rFonts w:eastAsiaTheme="minorEastAsia"/>
          <w:sz w:val="24"/>
          <w:lang w:eastAsia="zh-CN"/>
        </w:rPr>
      </w:pPr>
      <w:r>
        <w:rPr>
          <w:noProof/>
          <w:lang w:eastAsia="zh-CN"/>
        </w:rPr>
        <w:drawing>
          <wp:inline distT="0" distB="0" distL="0" distR="0" wp14:anchorId="7051FA64" wp14:editId="3532389E">
            <wp:extent cx="2473929" cy="1506601"/>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3220" cy="1518349"/>
                    </a:xfrm>
                    <a:prstGeom prst="rect">
                      <a:avLst/>
                    </a:prstGeom>
                  </pic:spPr>
                </pic:pic>
              </a:graphicData>
            </a:graphic>
          </wp:inline>
        </w:drawing>
      </w:r>
    </w:p>
    <w:p w:rsidR="00D25502" w:rsidRDefault="006216EA" w:rsidP="00EB712E">
      <w:pPr>
        <w:spacing w:line="480" w:lineRule="auto"/>
        <w:ind w:firstLineChars="113" w:firstLine="226"/>
        <w:jc w:val="center"/>
        <w:rPr>
          <w:rFonts w:eastAsiaTheme="minorEastAsia"/>
          <w:sz w:val="24"/>
          <w:lang w:eastAsia="zh-CN"/>
        </w:rPr>
      </w:pPr>
      <w:r>
        <w:rPr>
          <w:noProof/>
          <w:lang w:eastAsia="zh-CN"/>
        </w:rPr>
        <w:drawing>
          <wp:inline distT="0" distB="0" distL="0" distR="0" wp14:anchorId="2099FAE9" wp14:editId="6A3ACF35">
            <wp:extent cx="4392930" cy="16268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1626870"/>
                    </a:xfrm>
                    <a:prstGeom prst="rect">
                      <a:avLst/>
                    </a:prstGeom>
                  </pic:spPr>
                </pic:pic>
              </a:graphicData>
            </a:graphic>
          </wp:inline>
        </w:drawing>
      </w:r>
    </w:p>
    <w:p w:rsidR="006216EA" w:rsidRDefault="006216EA" w:rsidP="00EB712E">
      <w:pPr>
        <w:pStyle w:val="figurecaption"/>
        <w:spacing w:line="480" w:lineRule="auto"/>
        <w:jc w:val="left"/>
      </w:pPr>
      <w:r>
        <w:rPr>
          <w:b/>
        </w:rPr>
        <w:t xml:space="preserve">Fig. </w:t>
      </w:r>
      <w:r w:rsidR="003652EE">
        <w:rPr>
          <w:b/>
        </w:rPr>
        <w:t>2</w:t>
      </w:r>
      <w:r>
        <w:rPr>
          <w:b/>
        </w:rPr>
        <w:t>.</w:t>
      </w:r>
      <w:r>
        <w:t xml:space="preserve"> </w:t>
      </w:r>
      <w:r w:rsidR="00EB712E">
        <w:t>(a) Percentage cumulative variance explained by principal components against</w:t>
      </w:r>
      <w:r w:rsidR="00EB712E">
        <w:rPr>
          <w:rFonts w:eastAsiaTheme="minorEastAsia" w:hint="eastAsia"/>
          <w:lang w:eastAsia="zh-CN"/>
        </w:rPr>
        <w:t xml:space="preserve"> </w:t>
      </w:r>
      <w:r w:rsidR="00EB712E">
        <w:t xml:space="preserve">component number </w:t>
      </w:r>
      <w:r>
        <w:t>(</w:t>
      </w:r>
      <w:r w:rsidR="00EB712E">
        <w:t>b</w:t>
      </w:r>
      <w:r>
        <w:t>) Scree graph (</w:t>
      </w:r>
      <w:r w:rsidR="00EB712E">
        <w:t>c</w:t>
      </w:r>
      <w:r>
        <w:t xml:space="preserve">) LEV diagram </w:t>
      </w:r>
      <w:r w:rsidR="00DB1679">
        <w:t>arising from PCA on a correlation matrix of 66 stocks</w:t>
      </w:r>
    </w:p>
    <w:p w:rsidR="00DE124F" w:rsidRDefault="00DE124F" w:rsidP="00DE124F">
      <w:pPr>
        <w:pStyle w:val="heading1"/>
        <w:spacing w:line="480" w:lineRule="auto"/>
        <w:rPr>
          <w:sz w:val="28"/>
        </w:rPr>
      </w:pPr>
      <w:r>
        <w:rPr>
          <w:sz w:val="28"/>
        </w:rPr>
        <w:lastRenderedPageBreak/>
        <w:t>Principal Portfolios</w:t>
      </w:r>
    </w:p>
    <w:p w:rsidR="00DE124F" w:rsidRPr="00DE124F" w:rsidRDefault="00DE124F" w:rsidP="00DE124F">
      <w:pPr>
        <w:pStyle w:val="p1a"/>
        <w:spacing w:line="480" w:lineRule="auto"/>
        <w:rPr>
          <w:rFonts w:eastAsiaTheme="minorEastAsia" w:hint="eastAsia"/>
          <w:sz w:val="24"/>
          <w:lang w:eastAsia="zh-CN"/>
        </w:rPr>
      </w:pPr>
      <w:r w:rsidRPr="00DE124F">
        <w:rPr>
          <w:rFonts w:eastAsiaTheme="minorEastAsia" w:hint="eastAsia"/>
          <w:sz w:val="24"/>
          <w:lang w:eastAsia="zh-CN"/>
        </w:rPr>
        <w:t xml:space="preserve">In all of the </w:t>
      </w:r>
      <w:r w:rsidRPr="00DE124F">
        <w:rPr>
          <w:rFonts w:eastAsiaTheme="minorEastAsia"/>
          <w:sz w:val="24"/>
          <w:lang w:eastAsia="zh-CN"/>
        </w:rPr>
        <w:t>following</w:t>
      </w:r>
      <w:r w:rsidRPr="00DE124F">
        <w:rPr>
          <w:rFonts w:eastAsiaTheme="minorEastAsia" w:hint="eastAsia"/>
          <w:sz w:val="24"/>
          <w:lang w:eastAsia="zh-CN"/>
        </w:rPr>
        <w:t xml:space="preserve"> </w:t>
      </w:r>
      <w:r w:rsidRPr="00DE124F">
        <w:rPr>
          <w:rFonts w:eastAsiaTheme="minorEastAsia"/>
          <w:sz w:val="24"/>
          <w:lang w:eastAsia="zh-CN"/>
        </w:rPr>
        <w:t>strategies, we consider the original wealth to be 1</w:t>
      </w:r>
      <w:r w:rsidR="00215996">
        <w:rPr>
          <w:rFonts w:eastAsiaTheme="minorEastAsia"/>
          <w:sz w:val="24"/>
          <w:lang w:eastAsia="zh-CN"/>
        </w:rPr>
        <w:t xml:space="preserve"> and calculate the standard deviation, the minimum price</w:t>
      </w:r>
      <w:r w:rsidR="00D96B66">
        <w:rPr>
          <w:rFonts w:eastAsiaTheme="minorEastAsia"/>
          <w:sz w:val="24"/>
          <w:lang w:eastAsia="zh-CN"/>
        </w:rPr>
        <w:t>,</w:t>
      </w:r>
      <w:r w:rsidR="00215996">
        <w:rPr>
          <w:rFonts w:eastAsiaTheme="minorEastAsia"/>
          <w:sz w:val="24"/>
          <w:lang w:eastAsia="zh-CN"/>
        </w:rPr>
        <w:t xml:space="preserve"> the final gain</w:t>
      </w:r>
      <w:r w:rsidR="00215996" w:rsidRPr="00DE124F">
        <w:rPr>
          <w:rFonts w:eastAsiaTheme="minorEastAsia"/>
          <w:sz w:val="24"/>
          <w:lang w:eastAsia="zh-CN"/>
        </w:rPr>
        <w:t xml:space="preserve"> </w:t>
      </w:r>
      <w:r w:rsidR="00D96B66">
        <w:rPr>
          <w:rFonts w:eastAsiaTheme="minorEastAsia"/>
          <w:sz w:val="24"/>
          <w:lang w:eastAsia="zh-CN"/>
        </w:rPr>
        <w:t>and S</w:t>
      </w:r>
      <w:r w:rsidR="00D96B66" w:rsidRPr="00D96B66">
        <w:rPr>
          <w:rFonts w:eastAsiaTheme="minorEastAsia"/>
          <w:sz w:val="24"/>
          <w:lang w:eastAsia="zh-CN"/>
        </w:rPr>
        <w:t xml:space="preserve">harpe ratio </w:t>
      </w:r>
      <w:r w:rsidR="00215996" w:rsidRPr="00DE124F">
        <w:rPr>
          <w:rFonts w:eastAsiaTheme="minorEastAsia"/>
          <w:sz w:val="24"/>
          <w:lang w:eastAsia="zh-CN"/>
        </w:rPr>
        <w:t>for comparison</w:t>
      </w:r>
      <w:r w:rsidR="00A439C0">
        <w:rPr>
          <w:rFonts w:eastAsiaTheme="minorEastAsia"/>
          <w:sz w:val="24"/>
          <w:lang w:eastAsia="zh-CN"/>
        </w:rPr>
        <w:t xml:space="preserve"> based on</w:t>
      </w:r>
      <w:r w:rsidR="000862F0">
        <w:rPr>
          <w:rFonts w:eastAsiaTheme="minorEastAsia"/>
          <w:sz w:val="24"/>
          <w:lang w:eastAsia="zh-CN"/>
        </w:rPr>
        <w:t xml:space="preserve"> the price of each portfolio at each time</w:t>
      </w:r>
      <w:r w:rsidR="00D96B66">
        <w:rPr>
          <w:rFonts w:eastAsiaTheme="minorEastAsia"/>
          <w:sz w:val="24"/>
          <w:lang w:eastAsia="zh-CN"/>
        </w:rPr>
        <w:t xml:space="preserve"> and its return.</w:t>
      </w:r>
      <w:r w:rsidR="00D96B66">
        <w:rPr>
          <w:rFonts w:eastAsiaTheme="minorEastAsia" w:hint="eastAsia"/>
          <w:sz w:val="24"/>
          <w:lang w:eastAsia="zh-CN"/>
        </w:rPr>
        <w:t xml:space="preserve"> </w:t>
      </w:r>
      <w:r w:rsidR="00C3462C">
        <w:rPr>
          <w:rFonts w:eastAsiaTheme="minorEastAsia"/>
          <w:sz w:val="24"/>
          <w:lang w:eastAsia="zh-CN"/>
        </w:rPr>
        <w:t xml:space="preserve">All these calculations are carried out </w:t>
      </w:r>
      <w:r w:rsidR="0060328F">
        <w:rPr>
          <w:rFonts w:eastAsiaTheme="minorEastAsia"/>
          <w:sz w:val="24"/>
          <w:lang w:eastAsia="zh-CN"/>
        </w:rPr>
        <w:t>on</w:t>
      </w:r>
      <w:r w:rsidR="00C3462C">
        <w:rPr>
          <w:rFonts w:eastAsiaTheme="minorEastAsia"/>
          <w:sz w:val="24"/>
          <w:lang w:eastAsia="zh-CN"/>
        </w:rPr>
        <w:t xml:space="preserve"> Excel.</w:t>
      </w:r>
    </w:p>
    <w:p w:rsidR="00DB1679" w:rsidRDefault="00DE124F" w:rsidP="00DE124F">
      <w:pPr>
        <w:pStyle w:val="heading2"/>
        <w:spacing w:before="0" w:line="480" w:lineRule="auto"/>
        <w:rPr>
          <w:sz w:val="24"/>
        </w:rPr>
      </w:pPr>
      <w:r>
        <w:rPr>
          <w:sz w:val="24"/>
        </w:rPr>
        <w:t>Stock investment with equal weight</w:t>
      </w:r>
    </w:p>
    <w:p w:rsidR="00DE124F" w:rsidRPr="00215996" w:rsidRDefault="00DE124F" w:rsidP="00DE124F">
      <w:pPr>
        <w:pStyle w:val="p1a"/>
        <w:spacing w:line="480" w:lineRule="auto"/>
        <w:rPr>
          <w:rFonts w:eastAsiaTheme="minorEastAsia" w:hint="eastAsia"/>
          <w:sz w:val="24"/>
          <w:lang w:eastAsia="zh-CN"/>
        </w:rPr>
      </w:pPr>
      <w:r w:rsidRPr="00215996">
        <w:rPr>
          <w:rFonts w:eastAsiaTheme="minorEastAsia" w:hint="eastAsia"/>
          <w:sz w:val="24"/>
          <w:lang w:eastAsia="zh-CN"/>
        </w:rPr>
        <w:t>In this strategy</w:t>
      </w:r>
      <w:r w:rsidRPr="00215996">
        <w:rPr>
          <w:rFonts w:eastAsiaTheme="minorEastAsia"/>
          <w:sz w:val="24"/>
          <w:lang w:eastAsia="zh-CN"/>
        </w:rPr>
        <w:t>, the capital allocated to each of the 10 stocks is the same</w:t>
      </w:r>
      <w:r w:rsidR="00215996">
        <w:rPr>
          <w:rFonts w:eastAsiaTheme="minorEastAsia"/>
          <w:sz w:val="24"/>
          <w:lang w:eastAsia="zh-CN"/>
        </w:rPr>
        <w:t>, which is 1/66</w:t>
      </w:r>
      <w:r w:rsidR="00A439C0">
        <w:rPr>
          <w:rFonts w:eastAsiaTheme="minorEastAsia"/>
          <w:sz w:val="24"/>
          <w:lang w:eastAsia="zh-CN"/>
        </w:rPr>
        <w:t>. Then volume of each stock can by directly calculated by the weight of this stock/initial price.</w:t>
      </w:r>
    </w:p>
    <w:p w:rsidR="00DE124F" w:rsidRDefault="00DE124F" w:rsidP="00DE124F">
      <w:pPr>
        <w:pStyle w:val="heading2"/>
        <w:spacing w:before="0" w:line="480" w:lineRule="auto"/>
        <w:rPr>
          <w:sz w:val="24"/>
        </w:rPr>
      </w:pPr>
      <w:r>
        <w:rPr>
          <w:sz w:val="24"/>
        </w:rPr>
        <w:t xml:space="preserve">Risk Parity </w:t>
      </w:r>
    </w:p>
    <w:p w:rsidR="00DE124F" w:rsidRPr="00385FAD" w:rsidRDefault="00385FAD" w:rsidP="00DE124F">
      <w:pPr>
        <w:pStyle w:val="p1a"/>
        <w:spacing w:line="480" w:lineRule="auto"/>
        <w:rPr>
          <w:rFonts w:eastAsiaTheme="minorEastAsia" w:hint="eastAsia"/>
          <w:lang w:eastAsia="zh-CN"/>
        </w:rPr>
      </w:pPr>
      <w:r>
        <w:rPr>
          <w:rFonts w:cstheme="minorHAnsi"/>
          <w:sz w:val="24"/>
          <w:szCs w:val="24"/>
        </w:rPr>
        <w:t xml:space="preserve">In this strategy, the risk of stock </w:t>
      </w:r>
      <m:oMath>
        <m:r>
          <w:rPr>
            <w:rFonts w:ascii="Cambria Math" w:hAnsi="Cambria Math" w:cstheme="minorHAnsi"/>
            <w:sz w:val="24"/>
            <w:szCs w:val="24"/>
          </w:rPr>
          <m:t>i</m:t>
        </m:r>
      </m:oMath>
      <w:r>
        <w:rPr>
          <w:rFonts w:cstheme="minorHAnsi"/>
          <w:sz w:val="24"/>
          <w:szCs w:val="24"/>
        </w:rPr>
        <w:t xml:space="preserve"> per unit of capital is estimated by its standard deviation </w:t>
      </w:r>
      <m:oMath>
        <m:sSub>
          <m:sSubPr>
            <m:ctrlPr>
              <w:rPr>
                <w:rFonts w:ascii="Cambria Math" w:eastAsia="宋体"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w:r>
        <w:rPr>
          <w:rFonts w:cstheme="minorHAnsi"/>
          <w:sz w:val="24"/>
          <w:szCs w:val="24"/>
        </w:rPr>
        <w:t>, so the capital allocated to each stock is proportional</w:t>
      </w:r>
      <w:r w:rsidR="00955269">
        <w:rPr>
          <w:rFonts w:cstheme="minorHAnsi"/>
          <w:sz w:val="24"/>
          <w:szCs w:val="24"/>
        </w:rPr>
        <w:t xml:space="preserve"> to</w:t>
      </w:r>
      <w:r>
        <w:rPr>
          <w:rFonts w:cstheme="minorHAnsi"/>
          <w:sz w:val="24"/>
          <w:szCs w:val="24"/>
        </w:rPr>
        <w:t xml:space="preserve"> </w:t>
      </w:r>
      <m:oMath>
        <m:r>
          <w:rPr>
            <w:rFonts w:ascii="Cambria Math" w:hAnsi="Cambria Math" w:cstheme="minorHAnsi"/>
            <w:sz w:val="24"/>
            <w:szCs w:val="24"/>
          </w:rPr>
          <m:t>1/</m:t>
        </m:r>
        <m:sSub>
          <m:sSubPr>
            <m:ctrlPr>
              <w:rPr>
                <w:rFonts w:ascii="Cambria Math" w:eastAsia="宋体"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w:r>
        <w:rPr>
          <w:rFonts w:eastAsiaTheme="minorEastAsia" w:cstheme="minorHAnsi" w:hint="eastAsia"/>
          <w:sz w:val="24"/>
          <w:szCs w:val="24"/>
          <w:lang w:eastAsia="zh-CN"/>
        </w:rPr>
        <w:t>.</w:t>
      </w:r>
    </w:p>
    <w:p w:rsidR="00DE124F" w:rsidRDefault="00DE124F" w:rsidP="00955269">
      <w:pPr>
        <w:pStyle w:val="heading2"/>
        <w:spacing w:before="0" w:line="480" w:lineRule="auto"/>
        <w:rPr>
          <w:sz w:val="24"/>
        </w:rPr>
      </w:pPr>
      <w:r>
        <w:rPr>
          <w:sz w:val="24"/>
        </w:rPr>
        <w:t xml:space="preserve">Equal Weight Portfolio </w:t>
      </w:r>
    </w:p>
    <w:p w:rsidR="00385FAD" w:rsidRPr="00955269" w:rsidRDefault="00385FAD" w:rsidP="00955269">
      <w:pPr>
        <w:pStyle w:val="p1a"/>
        <w:spacing w:line="480" w:lineRule="auto"/>
        <w:rPr>
          <w:rFonts w:eastAsiaTheme="minorEastAsia" w:hint="eastAsia"/>
          <w:sz w:val="24"/>
          <w:lang w:eastAsia="zh-CN"/>
        </w:rPr>
      </w:pPr>
      <w:r w:rsidRPr="00955269">
        <w:rPr>
          <w:rFonts w:eastAsiaTheme="minorEastAsia"/>
          <w:sz w:val="24"/>
          <w:lang w:eastAsia="zh-CN"/>
        </w:rPr>
        <w:t>First 10 principal portfolios are selected and given equal weight</w:t>
      </w:r>
      <w:r w:rsidR="00955269" w:rsidRPr="00955269">
        <w:rPr>
          <w:rFonts w:eastAsiaTheme="minorEastAsia"/>
          <w:sz w:val="24"/>
          <w:lang w:eastAsia="zh-CN"/>
        </w:rPr>
        <w:t xml:space="preserve"> to construct the portfolio.</w:t>
      </w:r>
    </w:p>
    <w:p w:rsidR="00DE124F" w:rsidRDefault="00DE124F" w:rsidP="00955269">
      <w:pPr>
        <w:pStyle w:val="heading2"/>
        <w:spacing w:before="0" w:line="480" w:lineRule="auto"/>
        <w:rPr>
          <w:sz w:val="24"/>
        </w:rPr>
      </w:pPr>
      <w:r>
        <w:rPr>
          <w:sz w:val="24"/>
        </w:rPr>
        <w:lastRenderedPageBreak/>
        <w:t xml:space="preserve">Diversified Risk Parity </w:t>
      </w:r>
    </w:p>
    <w:p w:rsidR="00DE124F" w:rsidRPr="00955269" w:rsidRDefault="00955269" w:rsidP="00DE124F">
      <w:pPr>
        <w:pStyle w:val="p1a"/>
        <w:spacing w:line="480" w:lineRule="auto"/>
        <w:rPr>
          <w:rFonts w:eastAsiaTheme="minorEastAsia" w:hint="eastAsia"/>
          <w:lang w:eastAsia="zh-CN"/>
        </w:rPr>
      </w:pPr>
      <w:r w:rsidRPr="00A439C0">
        <w:rPr>
          <w:rFonts w:eastAsiaTheme="minorEastAsia"/>
          <w:sz w:val="24"/>
          <w:lang w:eastAsia="zh-CN"/>
        </w:rPr>
        <w:t>T</w:t>
      </w:r>
      <w:r w:rsidRPr="00A439C0">
        <w:rPr>
          <w:rFonts w:eastAsiaTheme="minorEastAsia" w:hint="eastAsia"/>
          <w:sz w:val="24"/>
          <w:lang w:eastAsia="zh-CN"/>
        </w:rPr>
        <w:t xml:space="preserve">o </w:t>
      </w:r>
      <w:r w:rsidRPr="00A439C0">
        <w:rPr>
          <w:rFonts w:eastAsiaTheme="minorEastAsia"/>
          <w:sz w:val="24"/>
          <w:lang w:eastAsia="zh-CN"/>
        </w:rPr>
        <w:t>diversify the risk, the capital allocated to each portfolio is proportional to</w:t>
      </w:r>
      <w:r>
        <w:rPr>
          <w:rFonts w:eastAsiaTheme="minorEastAsia"/>
          <w:lang w:eastAsia="zh-CN"/>
        </w:rPr>
        <w:t xml:space="preserve"> </w:t>
      </w:r>
      <m:oMath>
        <m:r>
          <w:rPr>
            <w:rFonts w:ascii="Cambria Math" w:hAnsi="Cambria Math" w:cstheme="minorHAnsi"/>
            <w:sz w:val="24"/>
            <w:szCs w:val="24"/>
          </w:rPr>
          <m:t>1/</m:t>
        </m:r>
        <m:rad>
          <m:radPr>
            <m:degHide m:val="1"/>
            <m:ctrlPr>
              <w:rPr>
                <w:rFonts w:ascii="Cambria Math" w:eastAsia="宋体" w:hAnsi="Cambria Math" w:cstheme="minorHAnsi"/>
                <w:i/>
                <w:sz w:val="24"/>
                <w:szCs w:val="24"/>
              </w:rPr>
            </m:ctrlPr>
          </m:radPr>
          <m:deg/>
          <m:e>
            <m:sSub>
              <m:sSubPr>
                <m:ctrlPr>
                  <w:rPr>
                    <w:rFonts w:ascii="Cambria Math" w:eastAsia="宋体"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a</m:t>
                </m:r>
              </m:sub>
            </m:sSub>
          </m:e>
        </m:rad>
      </m:oMath>
      <w:r>
        <w:rPr>
          <w:rFonts w:eastAsiaTheme="minorEastAsia"/>
          <w:sz w:val="24"/>
          <w:szCs w:val="24"/>
          <w:lang w:eastAsia="zh-CN"/>
        </w:rPr>
        <w:t xml:space="preserve">, considering that high eigenvalue represents </w:t>
      </w:r>
      <w:r w:rsidR="00E52E58">
        <w:rPr>
          <w:rFonts w:eastAsiaTheme="minorEastAsia"/>
          <w:sz w:val="24"/>
          <w:szCs w:val="24"/>
          <w:lang w:eastAsia="zh-CN"/>
        </w:rPr>
        <w:t>high</w:t>
      </w:r>
      <w:r>
        <w:rPr>
          <w:rFonts w:eastAsiaTheme="minorEastAsia"/>
          <w:sz w:val="24"/>
          <w:szCs w:val="24"/>
          <w:lang w:eastAsia="zh-CN"/>
        </w:rPr>
        <w:t xml:space="preserve"> risk</w:t>
      </w:r>
      <w:r w:rsidR="00E52E58">
        <w:rPr>
          <w:rFonts w:eastAsiaTheme="minorEastAsia"/>
          <w:sz w:val="24"/>
          <w:szCs w:val="24"/>
          <w:lang w:eastAsia="zh-CN"/>
        </w:rPr>
        <w:t xml:space="preserve"> so as to invest less money.</w:t>
      </w:r>
    </w:p>
    <w:p w:rsidR="00E52E58" w:rsidRDefault="00E52E58" w:rsidP="00E52E58">
      <w:pPr>
        <w:pStyle w:val="heading1"/>
        <w:spacing w:line="480" w:lineRule="auto"/>
        <w:rPr>
          <w:sz w:val="28"/>
        </w:rPr>
      </w:pPr>
      <w:r>
        <w:rPr>
          <w:sz w:val="28"/>
        </w:rPr>
        <w:t>Results</w:t>
      </w:r>
    </w:p>
    <w:p w:rsidR="00FD6F73" w:rsidRPr="00E52E58" w:rsidRDefault="00E52E58" w:rsidP="00DE124F">
      <w:pPr>
        <w:spacing w:line="480" w:lineRule="auto"/>
        <w:ind w:firstLine="0"/>
        <w:rPr>
          <w:rFonts w:eastAsiaTheme="minorEastAsia" w:hint="eastAsia"/>
          <w:sz w:val="24"/>
          <w:lang w:eastAsia="zh-CN"/>
        </w:rPr>
      </w:pPr>
      <w:r w:rsidRPr="00E52E58">
        <w:rPr>
          <w:rFonts w:eastAsiaTheme="minorEastAsia" w:hint="eastAsia"/>
          <w:sz w:val="24"/>
          <w:lang w:eastAsia="zh-CN"/>
        </w:rPr>
        <w:t>T</w:t>
      </w:r>
      <w:r w:rsidRPr="00E52E58">
        <w:rPr>
          <w:rFonts w:eastAsiaTheme="minorEastAsia"/>
          <w:sz w:val="24"/>
          <w:lang w:eastAsia="zh-CN"/>
        </w:rPr>
        <w:t xml:space="preserve">able </w:t>
      </w:r>
      <w:r w:rsidR="00CD6D01">
        <w:rPr>
          <w:rFonts w:eastAsiaTheme="minorEastAsia"/>
          <w:sz w:val="24"/>
          <w:lang w:eastAsia="zh-CN"/>
        </w:rPr>
        <w:t>2</w:t>
      </w:r>
      <w:r>
        <w:rPr>
          <w:rFonts w:eastAsiaTheme="minorEastAsia"/>
          <w:sz w:val="24"/>
          <w:lang w:eastAsia="zh-CN"/>
        </w:rPr>
        <w:t xml:space="preserve"> shows the final gain, SD, and minimum of the four portfolios.</w:t>
      </w:r>
      <w:r w:rsidR="00412B45">
        <w:rPr>
          <w:rFonts w:eastAsiaTheme="minorEastAsia"/>
          <w:sz w:val="24"/>
          <w:lang w:eastAsia="zh-CN"/>
        </w:rPr>
        <w:t xml:space="preserve"> We can find that the </w:t>
      </w:r>
      <w:r w:rsidR="00121D1F">
        <w:rPr>
          <w:rFonts w:eastAsiaTheme="minorEastAsia"/>
          <w:sz w:val="24"/>
          <w:lang w:eastAsia="zh-CN"/>
        </w:rPr>
        <w:t>DRP</w:t>
      </w:r>
      <w:r w:rsidR="00412B45">
        <w:rPr>
          <w:rFonts w:eastAsiaTheme="minorEastAsia"/>
          <w:sz w:val="24"/>
          <w:lang w:eastAsia="zh-CN"/>
        </w:rPr>
        <w:t xml:space="preserve"> portfolio shows the highest final gain </w:t>
      </w:r>
      <w:r w:rsidR="0060328F">
        <w:rPr>
          <w:rFonts w:eastAsiaTheme="minorEastAsia"/>
          <w:sz w:val="24"/>
          <w:lang w:eastAsia="zh-CN"/>
        </w:rPr>
        <w:t xml:space="preserve">as well as </w:t>
      </w:r>
      <w:r w:rsidR="00121D1F">
        <w:rPr>
          <w:rFonts w:eastAsiaTheme="minorEastAsia"/>
          <w:sz w:val="24"/>
          <w:lang w:eastAsia="zh-CN"/>
        </w:rPr>
        <w:t>the highest</w:t>
      </w:r>
      <w:r w:rsidR="000F61F7">
        <w:rPr>
          <w:rFonts w:eastAsiaTheme="minorEastAsia"/>
          <w:sz w:val="24"/>
          <w:lang w:eastAsia="zh-CN"/>
        </w:rPr>
        <w:t xml:space="preserve"> </w:t>
      </w:r>
      <w:r w:rsidR="0060328F">
        <w:rPr>
          <w:rFonts w:eastAsiaTheme="minorEastAsia"/>
          <w:sz w:val="24"/>
          <w:lang w:eastAsia="zh-CN"/>
        </w:rPr>
        <w:t>SD</w:t>
      </w:r>
      <w:r w:rsidR="000F61F7">
        <w:rPr>
          <w:rFonts w:eastAsiaTheme="minorEastAsia"/>
          <w:sz w:val="24"/>
          <w:lang w:eastAsia="zh-CN"/>
        </w:rPr>
        <w:t>, while RE has the lowest final gain with lowest SD.</w:t>
      </w:r>
      <w:r w:rsidR="002C2B2E">
        <w:rPr>
          <w:rFonts w:eastAsiaTheme="minorEastAsia"/>
          <w:sz w:val="24"/>
          <w:lang w:eastAsia="zh-CN"/>
        </w:rPr>
        <w:t xml:space="preserve"> It seems that we need to take a higher risk in order to gain more.</w:t>
      </w:r>
      <w:r w:rsidR="000F61F7">
        <w:rPr>
          <w:rFonts w:eastAsiaTheme="minorEastAsia"/>
          <w:sz w:val="24"/>
          <w:lang w:eastAsia="zh-CN"/>
        </w:rPr>
        <w:t xml:space="preserve"> </w:t>
      </w:r>
      <w:r w:rsidR="00D96B66">
        <w:rPr>
          <w:rFonts w:eastAsiaTheme="minorEastAsia"/>
          <w:sz w:val="24"/>
          <w:lang w:eastAsia="zh-CN"/>
        </w:rPr>
        <w:t>The Sharpe ratio of these portfolios are al</w:t>
      </w:r>
      <w:r w:rsidR="00C40C29">
        <w:rPr>
          <w:rFonts w:eastAsiaTheme="minorEastAsia"/>
          <w:sz w:val="24"/>
          <w:lang w:eastAsia="zh-CN"/>
        </w:rPr>
        <w:t>l less than 0, telling us these portfolios are underp</w:t>
      </w:r>
      <w:r w:rsidR="00487867">
        <w:rPr>
          <w:rFonts w:eastAsiaTheme="minorEastAsia"/>
          <w:sz w:val="24"/>
          <w:lang w:eastAsia="zh-CN"/>
        </w:rPr>
        <w:t xml:space="preserve">erforming the benchmark. The long-term holding of the stocks for nearly 19 years is likely to </w:t>
      </w:r>
      <w:r w:rsidR="00072445">
        <w:rPr>
          <w:rFonts w:eastAsiaTheme="minorEastAsia"/>
          <w:sz w:val="24"/>
          <w:lang w:eastAsia="zh-CN"/>
        </w:rPr>
        <w:t>be the reason behind</w:t>
      </w:r>
      <w:r w:rsidR="00487867">
        <w:rPr>
          <w:rFonts w:eastAsiaTheme="minorEastAsia"/>
          <w:sz w:val="24"/>
          <w:lang w:eastAsia="zh-CN"/>
        </w:rPr>
        <w:t xml:space="preserve"> this </w:t>
      </w:r>
      <w:r w:rsidR="00072445">
        <w:rPr>
          <w:rFonts w:eastAsiaTheme="minorEastAsia"/>
          <w:sz w:val="24"/>
          <w:lang w:eastAsia="zh-CN"/>
        </w:rPr>
        <w:t>situation.</w:t>
      </w:r>
    </w:p>
    <w:p w:rsidR="00FF5D8B" w:rsidRPr="0060328F" w:rsidRDefault="009B2539" w:rsidP="009C67B8">
      <w:pPr>
        <w:pStyle w:val="tablecaption"/>
        <w:spacing w:line="480" w:lineRule="auto"/>
      </w:pPr>
      <w:bookmarkStart w:id="2" w:name="_Ref467509391"/>
      <w:r w:rsidRPr="0060328F">
        <w:rPr>
          <w:b/>
        </w:rPr>
        <w:t xml:space="preserve">Table </w:t>
      </w:r>
      <w:bookmarkEnd w:id="2"/>
      <w:r w:rsidR="00CD6D01">
        <w:rPr>
          <w:b/>
        </w:rPr>
        <w:t>2</w:t>
      </w:r>
      <w:r w:rsidRPr="0060328F">
        <w:rPr>
          <w:b/>
        </w:rPr>
        <w:t>.</w:t>
      </w:r>
      <w:r w:rsidRPr="0060328F">
        <w:t xml:space="preserve"> </w:t>
      </w:r>
      <w:r w:rsidR="00412B45" w:rsidRPr="0060328F">
        <w:t>Final gain, SD and minimum of the four portfolios</w:t>
      </w:r>
      <w:r w:rsidRPr="0060328F">
        <w:t>.</w:t>
      </w:r>
    </w:p>
    <w:tbl>
      <w:tblPr>
        <w:tblW w:w="6945" w:type="dxa"/>
        <w:jc w:val="center"/>
        <w:tblLayout w:type="fixed"/>
        <w:tblCellMar>
          <w:left w:w="70" w:type="dxa"/>
          <w:right w:w="70" w:type="dxa"/>
        </w:tblCellMar>
        <w:tblLook w:val="0000" w:firstRow="0" w:lastRow="0" w:firstColumn="0" w:lastColumn="0" w:noHBand="0" w:noVBand="0"/>
      </w:tblPr>
      <w:tblGrid>
        <w:gridCol w:w="1558"/>
        <w:gridCol w:w="1733"/>
        <w:gridCol w:w="1244"/>
        <w:gridCol w:w="1276"/>
        <w:gridCol w:w="1134"/>
      </w:tblGrid>
      <w:tr w:rsidR="00E52E58" w:rsidRPr="0060328F" w:rsidTr="002C2B2E">
        <w:trPr>
          <w:trHeight w:val="373"/>
          <w:jc w:val="center"/>
        </w:trPr>
        <w:tc>
          <w:tcPr>
            <w:tcW w:w="1558" w:type="dxa"/>
            <w:tcBorders>
              <w:top w:val="single" w:sz="12" w:space="0" w:color="000000"/>
              <w:bottom w:val="single" w:sz="6" w:space="0" w:color="000000"/>
            </w:tcBorders>
          </w:tcPr>
          <w:p w:rsidR="00E52E58" w:rsidRPr="0060328F" w:rsidRDefault="00E52E58" w:rsidP="00412B45">
            <w:pPr>
              <w:spacing w:line="480" w:lineRule="auto"/>
              <w:ind w:firstLine="0"/>
              <w:jc w:val="center"/>
              <w:rPr>
                <w:sz w:val="18"/>
                <w:szCs w:val="18"/>
              </w:rPr>
            </w:pPr>
            <w:r w:rsidRPr="0060328F">
              <w:rPr>
                <w:sz w:val="18"/>
                <w:szCs w:val="18"/>
              </w:rPr>
              <w:t>Strategies</w:t>
            </w:r>
          </w:p>
        </w:tc>
        <w:tc>
          <w:tcPr>
            <w:tcW w:w="1733" w:type="dxa"/>
            <w:tcBorders>
              <w:top w:val="single" w:sz="12" w:space="0" w:color="000000"/>
              <w:bottom w:val="single" w:sz="6" w:space="0" w:color="000000"/>
            </w:tcBorders>
          </w:tcPr>
          <w:p w:rsidR="00E52E58" w:rsidRPr="0060328F" w:rsidRDefault="00121D1F" w:rsidP="00412B45">
            <w:pPr>
              <w:spacing w:line="480" w:lineRule="auto"/>
              <w:ind w:firstLine="0"/>
              <w:jc w:val="center"/>
              <w:rPr>
                <w:sz w:val="18"/>
                <w:szCs w:val="18"/>
              </w:rPr>
            </w:pPr>
            <w:r w:rsidRPr="0060328F">
              <w:rPr>
                <w:sz w:val="18"/>
                <w:szCs w:val="18"/>
              </w:rPr>
              <w:t>EWS</w:t>
            </w:r>
          </w:p>
        </w:tc>
        <w:tc>
          <w:tcPr>
            <w:tcW w:w="1244" w:type="dxa"/>
            <w:tcBorders>
              <w:top w:val="single" w:sz="12" w:space="0" w:color="000000"/>
              <w:bottom w:val="single" w:sz="6" w:space="0" w:color="000000"/>
            </w:tcBorders>
          </w:tcPr>
          <w:p w:rsidR="00E52E58" w:rsidRPr="0060328F" w:rsidRDefault="00121D1F" w:rsidP="00412B45">
            <w:pPr>
              <w:spacing w:line="480" w:lineRule="auto"/>
              <w:ind w:firstLine="0"/>
              <w:jc w:val="center"/>
              <w:rPr>
                <w:sz w:val="18"/>
                <w:szCs w:val="18"/>
              </w:rPr>
            </w:pPr>
            <w:r w:rsidRPr="0060328F">
              <w:rPr>
                <w:sz w:val="18"/>
                <w:szCs w:val="18"/>
              </w:rPr>
              <w:t>RE</w:t>
            </w:r>
          </w:p>
        </w:tc>
        <w:tc>
          <w:tcPr>
            <w:tcW w:w="1276" w:type="dxa"/>
            <w:tcBorders>
              <w:top w:val="single" w:sz="12" w:space="0" w:color="000000"/>
              <w:bottom w:val="single" w:sz="6" w:space="0" w:color="000000"/>
            </w:tcBorders>
          </w:tcPr>
          <w:p w:rsidR="00E52E58" w:rsidRPr="0060328F" w:rsidRDefault="00121D1F" w:rsidP="00412B45">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EWP</w:t>
            </w:r>
          </w:p>
        </w:tc>
        <w:tc>
          <w:tcPr>
            <w:tcW w:w="1134" w:type="dxa"/>
            <w:tcBorders>
              <w:top w:val="single" w:sz="12" w:space="0" w:color="000000"/>
              <w:bottom w:val="single" w:sz="6" w:space="0" w:color="000000"/>
            </w:tcBorders>
          </w:tcPr>
          <w:p w:rsidR="00E52E58" w:rsidRPr="0060328F" w:rsidRDefault="00121D1F" w:rsidP="00412B45">
            <w:pPr>
              <w:spacing w:line="480" w:lineRule="auto"/>
              <w:ind w:firstLine="0"/>
              <w:jc w:val="center"/>
              <w:rPr>
                <w:rFonts w:eastAsiaTheme="minorEastAsia" w:hint="eastAsia"/>
                <w:sz w:val="18"/>
                <w:szCs w:val="18"/>
                <w:lang w:eastAsia="zh-CN"/>
              </w:rPr>
            </w:pPr>
            <w:r w:rsidRPr="0060328F">
              <w:rPr>
                <w:rFonts w:eastAsiaTheme="minorEastAsia"/>
                <w:sz w:val="18"/>
                <w:szCs w:val="18"/>
                <w:lang w:eastAsia="zh-CN"/>
              </w:rPr>
              <w:t>DRP</w:t>
            </w:r>
          </w:p>
        </w:tc>
      </w:tr>
      <w:tr w:rsidR="00E52E58" w:rsidRPr="0060328F" w:rsidTr="002C2B2E">
        <w:trPr>
          <w:trHeight w:val="284"/>
          <w:jc w:val="center"/>
        </w:trPr>
        <w:tc>
          <w:tcPr>
            <w:tcW w:w="1558" w:type="dxa"/>
            <w:vAlign w:val="center"/>
          </w:tcPr>
          <w:p w:rsidR="00E52E58" w:rsidRPr="0060328F" w:rsidRDefault="00E52E58" w:rsidP="00412B45">
            <w:pPr>
              <w:spacing w:line="480" w:lineRule="auto"/>
              <w:ind w:firstLine="0"/>
              <w:jc w:val="center"/>
              <w:rPr>
                <w:sz w:val="18"/>
                <w:szCs w:val="18"/>
              </w:rPr>
            </w:pPr>
            <w:r w:rsidRPr="0060328F">
              <w:rPr>
                <w:sz w:val="18"/>
                <w:szCs w:val="18"/>
              </w:rPr>
              <w:t>Final gain</w:t>
            </w:r>
          </w:p>
        </w:tc>
        <w:tc>
          <w:tcPr>
            <w:tcW w:w="1733" w:type="dxa"/>
            <w:vAlign w:val="center"/>
          </w:tcPr>
          <w:p w:rsidR="00E52E58" w:rsidRPr="0060328F" w:rsidRDefault="00412B45" w:rsidP="00412B45">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52.</w:t>
            </w:r>
            <w:r w:rsidRPr="0060328F">
              <w:rPr>
                <w:rFonts w:eastAsiaTheme="minorEastAsia"/>
                <w:sz w:val="18"/>
                <w:szCs w:val="18"/>
                <w:lang w:eastAsia="zh-CN"/>
              </w:rPr>
              <w:t>90</w:t>
            </w:r>
          </w:p>
        </w:tc>
        <w:tc>
          <w:tcPr>
            <w:tcW w:w="1244" w:type="dxa"/>
            <w:vAlign w:val="center"/>
          </w:tcPr>
          <w:p w:rsidR="00E52E58" w:rsidRPr="0060328F" w:rsidRDefault="00412B45" w:rsidP="00412B45">
            <w:pPr>
              <w:spacing w:line="480" w:lineRule="auto"/>
              <w:ind w:firstLine="0"/>
              <w:jc w:val="center"/>
              <w:rPr>
                <w:sz w:val="18"/>
                <w:szCs w:val="18"/>
              </w:rPr>
            </w:pPr>
            <w:r w:rsidRPr="0060328F">
              <w:rPr>
                <w:sz w:val="18"/>
                <w:szCs w:val="18"/>
              </w:rPr>
              <w:t>33.71</w:t>
            </w:r>
          </w:p>
        </w:tc>
        <w:tc>
          <w:tcPr>
            <w:tcW w:w="1276" w:type="dxa"/>
          </w:tcPr>
          <w:p w:rsidR="00E52E58" w:rsidRPr="0060328F" w:rsidRDefault="00412B45" w:rsidP="00412B45">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2</w:t>
            </w:r>
            <w:r w:rsidRPr="0060328F">
              <w:rPr>
                <w:rFonts w:eastAsiaTheme="minorEastAsia"/>
                <w:sz w:val="18"/>
                <w:szCs w:val="18"/>
                <w:lang w:eastAsia="zh-CN"/>
              </w:rPr>
              <w:t>18.97</w:t>
            </w:r>
          </w:p>
        </w:tc>
        <w:tc>
          <w:tcPr>
            <w:tcW w:w="1134" w:type="dxa"/>
          </w:tcPr>
          <w:p w:rsidR="00E52E58" w:rsidRPr="0060328F" w:rsidRDefault="00412B45" w:rsidP="00412B45">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413.67</w:t>
            </w:r>
          </w:p>
        </w:tc>
      </w:tr>
      <w:tr w:rsidR="00E52E58" w:rsidRPr="0060328F" w:rsidTr="002C2B2E">
        <w:trPr>
          <w:trHeight w:val="284"/>
          <w:jc w:val="center"/>
        </w:trPr>
        <w:tc>
          <w:tcPr>
            <w:tcW w:w="1558" w:type="dxa"/>
            <w:vAlign w:val="center"/>
          </w:tcPr>
          <w:p w:rsidR="00E52E58" w:rsidRPr="0060328F" w:rsidRDefault="00412B45" w:rsidP="00412B45">
            <w:pPr>
              <w:spacing w:line="480" w:lineRule="auto"/>
              <w:ind w:firstLine="0"/>
              <w:jc w:val="center"/>
              <w:rPr>
                <w:sz w:val="18"/>
                <w:szCs w:val="18"/>
              </w:rPr>
            </w:pPr>
            <w:r w:rsidRPr="0060328F">
              <w:rPr>
                <w:sz w:val="18"/>
                <w:szCs w:val="18"/>
              </w:rPr>
              <w:t>SD</w:t>
            </w:r>
          </w:p>
        </w:tc>
        <w:tc>
          <w:tcPr>
            <w:tcW w:w="1733" w:type="dxa"/>
            <w:vAlign w:val="center"/>
          </w:tcPr>
          <w:p w:rsidR="00E52E58" w:rsidRPr="0060328F" w:rsidRDefault="00412B45" w:rsidP="00412B45">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0.</w:t>
            </w:r>
            <w:r w:rsidRPr="0060328F">
              <w:rPr>
                <w:rFonts w:eastAsiaTheme="minorEastAsia"/>
                <w:sz w:val="18"/>
                <w:szCs w:val="18"/>
                <w:lang w:eastAsia="zh-CN"/>
              </w:rPr>
              <w:t>86</w:t>
            </w:r>
          </w:p>
        </w:tc>
        <w:tc>
          <w:tcPr>
            <w:tcW w:w="1244" w:type="dxa"/>
            <w:vAlign w:val="center"/>
          </w:tcPr>
          <w:p w:rsidR="00E52E58" w:rsidRPr="0060328F" w:rsidRDefault="00412B45" w:rsidP="00412B45">
            <w:pPr>
              <w:spacing w:line="480" w:lineRule="auto"/>
              <w:ind w:firstLine="0"/>
              <w:jc w:val="center"/>
              <w:rPr>
                <w:sz w:val="18"/>
                <w:szCs w:val="18"/>
              </w:rPr>
            </w:pPr>
            <w:r w:rsidRPr="0060328F">
              <w:rPr>
                <w:sz w:val="18"/>
                <w:szCs w:val="18"/>
              </w:rPr>
              <w:t>0.80</w:t>
            </w:r>
          </w:p>
        </w:tc>
        <w:tc>
          <w:tcPr>
            <w:tcW w:w="1276" w:type="dxa"/>
          </w:tcPr>
          <w:p w:rsidR="00E52E58" w:rsidRPr="0060328F" w:rsidRDefault="00412B45" w:rsidP="00412B45">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0.93</w:t>
            </w:r>
          </w:p>
        </w:tc>
        <w:tc>
          <w:tcPr>
            <w:tcW w:w="1134" w:type="dxa"/>
          </w:tcPr>
          <w:p w:rsidR="00E52E58" w:rsidRPr="0060328F" w:rsidRDefault="00412B45" w:rsidP="00412B45">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0</w:t>
            </w:r>
            <w:r w:rsidRPr="0060328F">
              <w:rPr>
                <w:rFonts w:eastAsiaTheme="minorEastAsia"/>
                <w:sz w:val="18"/>
                <w:szCs w:val="18"/>
                <w:lang w:eastAsia="zh-CN"/>
              </w:rPr>
              <w:t>.94</w:t>
            </w:r>
          </w:p>
        </w:tc>
      </w:tr>
      <w:tr w:rsidR="00D96B66" w:rsidRPr="0060328F" w:rsidTr="002C2B2E">
        <w:trPr>
          <w:trHeight w:val="284"/>
          <w:jc w:val="center"/>
        </w:trPr>
        <w:tc>
          <w:tcPr>
            <w:tcW w:w="1558" w:type="dxa"/>
            <w:vAlign w:val="center"/>
          </w:tcPr>
          <w:p w:rsidR="00D96B66" w:rsidRPr="0060328F" w:rsidRDefault="00D96B66" w:rsidP="00D96B66">
            <w:pPr>
              <w:spacing w:line="480" w:lineRule="auto"/>
              <w:ind w:firstLine="0"/>
              <w:jc w:val="center"/>
              <w:rPr>
                <w:sz w:val="18"/>
                <w:szCs w:val="18"/>
              </w:rPr>
            </w:pPr>
            <w:r w:rsidRPr="0060328F">
              <w:rPr>
                <w:sz w:val="18"/>
                <w:szCs w:val="18"/>
              </w:rPr>
              <w:t>Minimum</w:t>
            </w:r>
          </w:p>
        </w:tc>
        <w:tc>
          <w:tcPr>
            <w:tcW w:w="1733" w:type="dxa"/>
            <w:vAlign w:val="center"/>
          </w:tcPr>
          <w:p w:rsidR="00D96B66" w:rsidRPr="0060328F" w:rsidRDefault="00D96B66" w:rsidP="00D96B66">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0.92</w:t>
            </w:r>
          </w:p>
        </w:tc>
        <w:tc>
          <w:tcPr>
            <w:tcW w:w="1244" w:type="dxa"/>
            <w:vAlign w:val="center"/>
          </w:tcPr>
          <w:p w:rsidR="00D96B66" w:rsidRPr="0060328F" w:rsidRDefault="00D96B66" w:rsidP="00D96B66">
            <w:pPr>
              <w:spacing w:line="480" w:lineRule="auto"/>
              <w:ind w:firstLine="0"/>
              <w:jc w:val="center"/>
              <w:rPr>
                <w:sz w:val="18"/>
                <w:szCs w:val="18"/>
              </w:rPr>
            </w:pPr>
            <w:r w:rsidRPr="0060328F">
              <w:rPr>
                <w:sz w:val="18"/>
                <w:szCs w:val="18"/>
              </w:rPr>
              <w:t>0.92</w:t>
            </w:r>
          </w:p>
        </w:tc>
        <w:tc>
          <w:tcPr>
            <w:tcW w:w="1276" w:type="dxa"/>
          </w:tcPr>
          <w:p w:rsidR="00D96B66" w:rsidRPr="0060328F" w:rsidRDefault="00D96B66" w:rsidP="00D96B66">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0.86</w:t>
            </w:r>
          </w:p>
        </w:tc>
        <w:tc>
          <w:tcPr>
            <w:tcW w:w="1134" w:type="dxa"/>
          </w:tcPr>
          <w:p w:rsidR="00D96B66" w:rsidRPr="0060328F" w:rsidRDefault="00D96B66" w:rsidP="00D96B66">
            <w:pPr>
              <w:spacing w:line="480" w:lineRule="auto"/>
              <w:ind w:firstLine="0"/>
              <w:jc w:val="center"/>
              <w:rPr>
                <w:rFonts w:eastAsiaTheme="minorEastAsia" w:hint="eastAsia"/>
                <w:sz w:val="18"/>
                <w:szCs w:val="18"/>
                <w:lang w:eastAsia="zh-CN"/>
              </w:rPr>
            </w:pPr>
            <w:r w:rsidRPr="0060328F">
              <w:rPr>
                <w:rFonts w:eastAsiaTheme="minorEastAsia" w:hint="eastAsia"/>
                <w:sz w:val="18"/>
                <w:szCs w:val="18"/>
                <w:lang w:eastAsia="zh-CN"/>
              </w:rPr>
              <w:t>0.91</w:t>
            </w:r>
          </w:p>
        </w:tc>
      </w:tr>
      <w:tr w:rsidR="00D96B66" w:rsidRPr="0060328F" w:rsidTr="00C67ADC">
        <w:trPr>
          <w:trHeight w:val="55"/>
          <w:jc w:val="center"/>
        </w:trPr>
        <w:tc>
          <w:tcPr>
            <w:tcW w:w="1558" w:type="dxa"/>
            <w:tcBorders>
              <w:bottom w:val="single" w:sz="12" w:space="0" w:color="000000"/>
            </w:tcBorders>
            <w:vAlign w:val="center"/>
          </w:tcPr>
          <w:p w:rsidR="00D96B66" w:rsidRPr="00D96B66" w:rsidRDefault="00D96B66" w:rsidP="00D96B66">
            <w:pPr>
              <w:spacing w:line="480" w:lineRule="auto"/>
              <w:ind w:firstLine="0"/>
              <w:jc w:val="center"/>
              <w:rPr>
                <w:rFonts w:eastAsiaTheme="minorEastAsia" w:hint="eastAsia"/>
                <w:sz w:val="18"/>
                <w:szCs w:val="18"/>
                <w:lang w:eastAsia="zh-CN"/>
              </w:rPr>
            </w:pPr>
            <w:r>
              <w:rPr>
                <w:rFonts w:eastAsiaTheme="minorEastAsia" w:hint="eastAsia"/>
                <w:sz w:val="18"/>
                <w:szCs w:val="18"/>
                <w:lang w:eastAsia="zh-CN"/>
              </w:rPr>
              <w:t>Sharpe ratio</w:t>
            </w:r>
          </w:p>
        </w:tc>
        <w:tc>
          <w:tcPr>
            <w:tcW w:w="1733" w:type="dxa"/>
            <w:tcBorders>
              <w:bottom w:val="single" w:sz="12" w:space="0" w:color="000000"/>
            </w:tcBorders>
            <w:vAlign w:val="center"/>
          </w:tcPr>
          <w:p w:rsidR="00D96B66" w:rsidRPr="00D96B66" w:rsidRDefault="00D96B66" w:rsidP="00D96B66">
            <w:pPr>
              <w:spacing w:line="480" w:lineRule="auto"/>
              <w:ind w:firstLine="0"/>
              <w:jc w:val="center"/>
              <w:rPr>
                <w:rFonts w:eastAsiaTheme="minorEastAsia"/>
                <w:sz w:val="18"/>
                <w:szCs w:val="18"/>
                <w:lang w:eastAsia="zh-CN"/>
              </w:rPr>
            </w:pPr>
            <w:r w:rsidRPr="00D96B66">
              <w:rPr>
                <w:rFonts w:eastAsiaTheme="minorEastAsia" w:hint="eastAsia"/>
                <w:sz w:val="18"/>
                <w:szCs w:val="18"/>
                <w:lang w:eastAsia="zh-CN"/>
              </w:rPr>
              <w:t>-0.10612</w:t>
            </w:r>
          </w:p>
        </w:tc>
        <w:tc>
          <w:tcPr>
            <w:tcW w:w="1244" w:type="dxa"/>
            <w:tcBorders>
              <w:bottom w:val="single" w:sz="12" w:space="0" w:color="000000"/>
            </w:tcBorders>
            <w:vAlign w:val="center"/>
          </w:tcPr>
          <w:p w:rsidR="00D96B66" w:rsidRPr="00D96B66" w:rsidRDefault="00D96B66" w:rsidP="00D96B66">
            <w:pPr>
              <w:spacing w:line="480" w:lineRule="auto"/>
              <w:jc w:val="center"/>
              <w:rPr>
                <w:rFonts w:eastAsiaTheme="minorEastAsia" w:hint="eastAsia"/>
                <w:sz w:val="18"/>
                <w:szCs w:val="18"/>
                <w:lang w:eastAsia="zh-CN"/>
              </w:rPr>
            </w:pPr>
            <w:r w:rsidRPr="00D96B66">
              <w:rPr>
                <w:rFonts w:eastAsiaTheme="minorEastAsia" w:hint="eastAsia"/>
                <w:sz w:val="18"/>
                <w:szCs w:val="18"/>
                <w:lang w:eastAsia="zh-CN"/>
              </w:rPr>
              <w:t>-0.13139</w:t>
            </w:r>
          </w:p>
        </w:tc>
        <w:tc>
          <w:tcPr>
            <w:tcW w:w="1276" w:type="dxa"/>
            <w:tcBorders>
              <w:bottom w:val="single" w:sz="12" w:space="0" w:color="000000"/>
            </w:tcBorders>
            <w:vAlign w:val="center"/>
          </w:tcPr>
          <w:p w:rsidR="00D96B66" w:rsidRPr="00D96B66" w:rsidRDefault="00D96B66" w:rsidP="00D96B66">
            <w:pPr>
              <w:spacing w:line="480" w:lineRule="auto"/>
              <w:jc w:val="center"/>
              <w:rPr>
                <w:rFonts w:eastAsiaTheme="minorEastAsia" w:hint="eastAsia"/>
                <w:sz w:val="18"/>
                <w:szCs w:val="18"/>
                <w:lang w:eastAsia="zh-CN"/>
              </w:rPr>
            </w:pPr>
            <w:r w:rsidRPr="00D96B66">
              <w:rPr>
                <w:rFonts w:eastAsiaTheme="minorEastAsia" w:hint="eastAsia"/>
                <w:sz w:val="18"/>
                <w:szCs w:val="18"/>
                <w:lang w:eastAsia="zh-CN"/>
              </w:rPr>
              <w:t>-0.08092</w:t>
            </w:r>
          </w:p>
        </w:tc>
        <w:tc>
          <w:tcPr>
            <w:tcW w:w="1134" w:type="dxa"/>
            <w:tcBorders>
              <w:bottom w:val="single" w:sz="12" w:space="0" w:color="000000"/>
            </w:tcBorders>
            <w:vAlign w:val="center"/>
          </w:tcPr>
          <w:p w:rsidR="00D96B66" w:rsidRPr="00D96B66" w:rsidRDefault="00D96B66" w:rsidP="00D96B66">
            <w:pPr>
              <w:spacing w:line="480" w:lineRule="auto"/>
              <w:jc w:val="center"/>
              <w:rPr>
                <w:rFonts w:eastAsiaTheme="minorEastAsia" w:hint="eastAsia"/>
                <w:sz w:val="18"/>
                <w:szCs w:val="18"/>
                <w:lang w:eastAsia="zh-CN"/>
              </w:rPr>
            </w:pPr>
            <w:r w:rsidRPr="00D96B66">
              <w:rPr>
                <w:rFonts w:eastAsiaTheme="minorEastAsia" w:hint="eastAsia"/>
                <w:sz w:val="18"/>
                <w:szCs w:val="18"/>
                <w:lang w:eastAsia="zh-CN"/>
              </w:rPr>
              <w:t>-0.07207</w:t>
            </w:r>
          </w:p>
        </w:tc>
      </w:tr>
    </w:tbl>
    <w:p w:rsidR="00B50A5B" w:rsidRDefault="00F726B1" w:rsidP="005512FE">
      <w:pPr>
        <w:spacing w:before="240" w:line="480" w:lineRule="auto"/>
        <w:ind w:firstLine="0"/>
        <w:jc w:val="left"/>
        <w:rPr>
          <w:rFonts w:eastAsiaTheme="minorEastAsia"/>
          <w:sz w:val="24"/>
          <w:lang w:eastAsia="zh-CN"/>
        </w:rPr>
      </w:pPr>
      <w:r>
        <w:rPr>
          <w:rFonts w:eastAsiaTheme="minorEastAsia"/>
          <w:sz w:val="24"/>
          <w:lang w:eastAsia="zh-CN"/>
        </w:rPr>
        <w:lastRenderedPageBreak/>
        <w:t>The index of Australian stock market keeps steady</w:t>
      </w:r>
      <w:r w:rsidR="00F62259">
        <w:rPr>
          <w:rFonts w:eastAsiaTheme="minorEastAsia"/>
          <w:sz w:val="24"/>
          <w:lang w:eastAsia="zh-CN"/>
        </w:rPr>
        <w:t xml:space="preserve"> in long term</w:t>
      </w:r>
      <w:r w:rsidR="00C3462C">
        <w:rPr>
          <w:rFonts w:eastAsiaTheme="minorEastAsia"/>
          <w:sz w:val="24"/>
          <w:lang w:eastAsia="zh-CN"/>
        </w:rPr>
        <w:t xml:space="preserve"> as shown in Fig.</w:t>
      </w:r>
      <w:r w:rsidR="003652EE">
        <w:rPr>
          <w:rFonts w:eastAsiaTheme="minorEastAsia"/>
          <w:sz w:val="24"/>
          <w:lang w:eastAsia="zh-CN"/>
        </w:rPr>
        <w:t>3</w:t>
      </w:r>
      <w:r>
        <w:rPr>
          <w:rFonts w:eastAsiaTheme="minorEastAsia"/>
          <w:sz w:val="24"/>
          <w:lang w:eastAsia="zh-CN"/>
        </w:rPr>
        <w:t>, which means that it is a mature market.</w:t>
      </w:r>
      <w:r w:rsidR="00C3462C">
        <w:rPr>
          <w:rFonts w:eastAsiaTheme="minorEastAsia"/>
          <w:sz w:val="24"/>
          <w:lang w:eastAsia="zh-CN"/>
        </w:rPr>
        <w:t xml:space="preserve"> </w:t>
      </w:r>
      <w:r w:rsidR="00C40C29">
        <w:rPr>
          <w:rFonts w:eastAsiaTheme="minorEastAsia"/>
          <w:sz w:val="24"/>
          <w:lang w:eastAsia="zh-CN"/>
        </w:rPr>
        <w:t>In addition,</w:t>
      </w:r>
      <w:r w:rsidR="00C3462C">
        <w:rPr>
          <w:rFonts w:eastAsiaTheme="minorEastAsia"/>
          <w:sz w:val="24"/>
          <w:lang w:eastAsia="zh-CN"/>
        </w:rPr>
        <w:t xml:space="preserve"> there are two main periods that have a sharp decrease, correspond</w:t>
      </w:r>
      <w:r w:rsidR="00C40C29">
        <w:rPr>
          <w:rFonts w:eastAsiaTheme="minorEastAsia"/>
          <w:sz w:val="24"/>
          <w:lang w:eastAsia="zh-CN"/>
        </w:rPr>
        <w:t>ing</w:t>
      </w:r>
      <w:r w:rsidR="00C3462C">
        <w:rPr>
          <w:rFonts w:eastAsiaTheme="minorEastAsia"/>
          <w:sz w:val="24"/>
          <w:lang w:eastAsia="zh-CN"/>
        </w:rPr>
        <w:t xml:space="preserve"> to </w:t>
      </w:r>
      <w:r w:rsidR="0060328F">
        <w:rPr>
          <w:rFonts w:eastAsiaTheme="minorEastAsia"/>
          <w:sz w:val="24"/>
          <w:lang w:eastAsia="zh-CN"/>
        </w:rPr>
        <w:t>2008 financial crisis and the COVID-19 epidemic.</w:t>
      </w:r>
      <w:r w:rsidR="00F62259" w:rsidRPr="00F62259">
        <w:rPr>
          <w:rFonts w:eastAsiaTheme="minorEastAsia" w:hint="eastAsia"/>
          <w:sz w:val="24"/>
          <w:lang w:eastAsia="zh-CN"/>
        </w:rPr>
        <w:t xml:space="preserve"> </w:t>
      </w:r>
      <w:r w:rsidR="00F62259">
        <w:rPr>
          <w:rFonts w:eastAsiaTheme="minorEastAsia" w:hint="eastAsia"/>
          <w:sz w:val="24"/>
          <w:lang w:eastAsia="zh-CN"/>
        </w:rPr>
        <w:t xml:space="preserve">Fig. </w:t>
      </w:r>
      <w:r w:rsidR="003652EE">
        <w:rPr>
          <w:rFonts w:eastAsiaTheme="minorEastAsia"/>
          <w:sz w:val="24"/>
          <w:lang w:eastAsia="zh-CN"/>
        </w:rPr>
        <w:t>4</w:t>
      </w:r>
      <w:r w:rsidR="00F62259">
        <w:rPr>
          <w:rFonts w:eastAsiaTheme="minorEastAsia"/>
          <w:sz w:val="24"/>
          <w:lang w:eastAsia="zh-CN"/>
        </w:rPr>
        <w:t xml:space="preserve"> shows the result of each portfolio at different time. </w:t>
      </w:r>
      <w:r>
        <w:rPr>
          <w:rFonts w:eastAsiaTheme="minorEastAsia"/>
          <w:sz w:val="24"/>
          <w:lang w:eastAsia="zh-CN"/>
        </w:rPr>
        <w:t xml:space="preserve">The fact that our four portfolios all show a good return may result from the 66 stocks we first choose. Since </w:t>
      </w:r>
      <w:r w:rsidR="00AE0678">
        <w:rPr>
          <w:rFonts w:eastAsiaTheme="minorEastAsia"/>
          <w:sz w:val="24"/>
          <w:lang w:eastAsia="zh-CN"/>
        </w:rPr>
        <w:t>the index keeps including these stocks, it is possible that most of these 66 stocks are good stocks</w:t>
      </w:r>
      <w:r w:rsidR="00B50A5B">
        <w:rPr>
          <w:rFonts w:eastAsiaTheme="minorEastAsia"/>
          <w:sz w:val="24"/>
          <w:lang w:eastAsia="zh-CN"/>
        </w:rPr>
        <w:t>, giving us good return no matter what strategy we choose</w:t>
      </w:r>
      <w:r w:rsidR="00AE0678">
        <w:rPr>
          <w:rFonts w:eastAsiaTheme="minorEastAsia"/>
          <w:sz w:val="24"/>
          <w:lang w:eastAsia="zh-CN"/>
        </w:rPr>
        <w:t>.</w:t>
      </w:r>
      <w:r w:rsidR="00F62259">
        <w:rPr>
          <w:rFonts w:eastAsiaTheme="minorEastAsia"/>
          <w:sz w:val="24"/>
          <w:lang w:eastAsia="zh-CN"/>
        </w:rPr>
        <w:t xml:space="preserve"> </w:t>
      </w:r>
      <w:r w:rsidR="00B50A5B">
        <w:rPr>
          <w:noProof/>
          <w:lang w:eastAsia="zh-CN"/>
        </w:rPr>
        <w:drawing>
          <wp:inline distT="0" distB="0" distL="0" distR="0" wp14:anchorId="71DD9492" wp14:editId="5C999402">
            <wp:extent cx="3994189" cy="236256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4911" cy="2374822"/>
                    </a:xfrm>
                    <a:prstGeom prst="rect">
                      <a:avLst/>
                    </a:prstGeom>
                  </pic:spPr>
                </pic:pic>
              </a:graphicData>
            </a:graphic>
          </wp:inline>
        </w:drawing>
      </w:r>
    </w:p>
    <w:p w:rsidR="005512FE" w:rsidRDefault="005512FE" w:rsidP="00B50A5B">
      <w:pPr>
        <w:pStyle w:val="figurecaption"/>
        <w:spacing w:line="480" w:lineRule="auto"/>
        <w:jc w:val="left"/>
      </w:pPr>
      <w:r>
        <w:rPr>
          <w:b/>
        </w:rPr>
        <w:t xml:space="preserve">Fig. </w:t>
      </w:r>
      <w:r w:rsidR="003652EE">
        <w:rPr>
          <w:b/>
        </w:rPr>
        <w:t>3</w:t>
      </w:r>
      <w:r>
        <w:rPr>
          <w:b/>
        </w:rPr>
        <w:t>.</w:t>
      </w:r>
      <w:r>
        <w:t xml:space="preserve"> </w:t>
      </w:r>
      <w:r w:rsidR="00F62259" w:rsidRPr="00F62259">
        <w:t xml:space="preserve">The performance trajectory of </w:t>
      </w:r>
      <w:r w:rsidR="00F62259">
        <w:t xml:space="preserve"> the </w:t>
      </w:r>
      <w:r w:rsidR="00F62259" w:rsidRPr="00F62259">
        <w:t>ASX200 index</w:t>
      </w:r>
    </w:p>
    <w:p w:rsidR="00B50A5B" w:rsidRDefault="00B50A5B" w:rsidP="00B50A5B">
      <w:pPr>
        <w:spacing w:before="240" w:line="480" w:lineRule="auto"/>
        <w:ind w:firstLine="0"/>
        <w:jc w:val="left"/>
        <w:rPr>
          <w:rFonts w:eastAsiaTheme="minorEastAsia" w:hint="eastAsia"/>
          <w:sz w:val="24"/>
          <w:lang w:eastAsia="zh-CN"/>
        </w:rPr>
      </w:pPr>
      <w:r>
        <w:rPr>
          <w:rFonts w:eastAsiaTheme="minorEastAsia"/>
          <w:sz w:val="24"/>
          <w:lang w:eastAsia="zh-CN"/>
        </w:rPr>
        <w:t>We also find the trend of EWP and DRP still follows t</w:t>
      </w:r>
      <w:r w:rsidRPr="00C40C29">
        <w:rPr>
          <w:rFonts w:eastAsiaTheme="minorEastAsia"/>
          <w:sz w:val="24"/>
          <w:lang w:eastAsia="zh-CN"/>
        </w:rPr>
        <w:t>he performance trajectory of the ASX200 index</w:t>
      </w:r>
      <w:r>
        <w:rPr>
          <w:rFonts w:eastAsiaTheme="minorEastAsia"/>
          <w:sz w:val="24"/>
          <w:lang w:eastAsia="zh-CN"/>
        </w:rPr>
        <w:t xml:space="preserve">, decreasing sharply as the index does. </w:t>
      </w:r>
      <w:r>
        <w:rPr>
          <w:rFonts w:eastAsiaTheme="minorEastAsia"/>
          <w:sz w:val="24"/>
          <w:lang w:eastAsia="zh-CN"/>
        </w:rPr>
        <w:lastRenderedPageBreak/>
        <w:t>However, what we expect is it to be steady instead of fluctuating so much.</w:t>
      </w:r>
      <w:r w:rsidR="00487867">
        <w:rPr>
          <w:rFonts w:eastAsiaTheme="minorEastAsia"/>
          <w:sz w:val="24"/>
          <w:lang w:eastAsia="zh-CN"/>
        </w:rPr>
        <w:t xml:space="preserve"> This </w:t>
      </w:r>
      <w:r w:rsidR="00072445">
        <w:rPr>
          <w:rFonts w:eastAsiaTheme="minorEastAsia"/>
          <w:sz w:val="24"/>
          <w:lang w:eastAsia="zh-CN"/>
        </w:rPr>
        <w:t>may</w:t>
      </w:r>
      <w:r w:rsidR="00487867">
        <w:rPr>
          <w:rFonts w:eastAsiaTheme="minorEastAsia"/>
          <w:sz w:val="24"/>
          <w:lang w:eastAsia="zh-CN"/>
        </w:rPr>
        <w:t xml:space="preserve"> because </w:t>
      </w:r>
      <w:r w:rsidR="00072445" w:rsidRPr="00072445">
        <w:rPr>
          <w:rFonts w:eastAsiaTheme="minorEastAsia"/>
          <w:sz w:val="24"/>
          <w:lang w:eastAsia="zh-CN"/>
        </w:rPr>
        <w:t xml:space="preserve">the </w:t>
      </w:r>
      <w:bookmarkStart w:id="3" w:name="OLE_LINK5"/>
      <w:bookmarkStart w:id="4" w:name="OLE_LINK6"/>
      <w:r w:rsidR="00072445" w:rsidRPr="00072445">
        <w:rPr>
          <w:rFonts w:eastAsiaTheme="minorEastAsia"/>
          <w:sz w:val="24"/>
          <w:lang w:eastAsia="zh-CN"/>
        </w:rPr>
        <w:t>ASX200 index</w:t>
      </w:r>
      <w:bookmarkEnd w:id="3"/>
      <w:bookmarkEnd w:id="4"/>
      <w:r w:rsidR="00072445" w:rsidRPr="00072445">
        <w:rPr>
          <w:rFonts w:eastAsiaTheme="minorEastAsia"/>
          <w:sz w:val="24"/>
          <w:lang w:eastAsia="zh-CN"/>
        </w:rPr>
        <w:t xml:space="preserve"> is </w:t>
      </w:r>
      <w:r w:rsidR="00072445">
        <w:rPr>
          <w:rFonts w:eastAsiaTheme="minorEastAsia"/>
          <w:sz w:val="24"/>
          <w:lang w:eastAsia="zh-CN"/>
        </w:rPr>
        <w:t>no longer</w:t>
      </w:r>
      <w:r w:rsidR="00072445" w:rsidRPr="00072445">
        <w:rPr>
          <w:rFonts w:eastAsiaTheme="minorEastAsia"/>
          <w:sz w:val="24"/>
          <w:lang w:eastAsia="zh-CN"/>
        </w:rPr>
        <w:t xml:space="preserve"> a weighted index of these 66 stocks we first choose</w:t>
      </w:r>
      <w:r w:rsidR="00072445">
        <w:rPr>
          <w:rFonts w:eastAsiaTheme="minorEastAsia"/>
          <w:sz w:val="24"/>
          <w:lang w:eastAsia="zh-CN"/>
        </w:rPr>
        <w:t xml:space="preserve"> since we have delete too many stocks from the market.</w:t>
      </w:r>
    </w:p>
    <w:p w:rsidR="005512FE" w:rsidRPr="005512FE" w:rsidRDefault="005512FE" w:rsidP="005512FE">
      <w:pPr>
        <w:spacing w:before="240" w:line="480" w:lineRule="auto"/>
        <w:ind w:firstLine="0"/>
        <w:jc w:val="center"/>
        <w:rPr>
          <w:rFonts w:eastAsiaTheme="minorEastAsia" w:hint="eastAsia"/>
          <w:sz w:val="24"/>
          <w:lang w:eastAsia="zh-CN"/>
        </w:rPr>
      </w:pPr>
    </w:p>
    <w:p w:rsidR="002C2B2E" w:rsidRDefault="00AE0678" w:rsidP="009C67B8">
      <w:pPr>
        <w:spacing w:before="240" w:line="480" w:lineRule="auto"/>
        <w:ind w:firstLine="0"/>
        <w:rPr>
          <w:sz w:val="24"/>
        </w:rPr>
      </w:pPr>
      <w:r>
        <w:rPr>
          <w:noProof/>
          <w:lang w:eastAsia="zh-CN"/>
        </w:rPr>
        <w:drawing>
          <wp:inline distT="0" distB="0" distL="0" distR="0" wp14:anchorId="0A115387" wp14:editId="24118A5F">
            <wp:extent cx="4392930" cy="2470785"/>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930" cy="2470785"/>
                    </a:xfrm>
                    <a:prstGeom prst="rect">
                      <a:avLst/>
                    </a:prstGeom>
                  </pic:spPr>
                </pic:pic>
              </a:graphicData>
            </a:graphic>
          </wp:inline>
        </w:drawing>
      </w:r>
    </w:p>
    <w:p w:rsidR="00487867" w:rsidRDefault="00C721BF" w:rsidP="00487867">
      <w:pPr>
        <w:pStyle w:val="figurecaption"/>
        <w:spacing w:line="480" w:lineRule="auto"/>
      </w:pPr>
      <w:r>
        <w:rPr>
          <w:b/>
        </w:rPr>
        <w:t xml:space="preserve">Fig. </w:t>
      </w:r>
      <w:r w:rsidR="003652EE">
        <w:rPr>
          <w:b/>
        </w:rPr>
        <w:t>4</w:t>
      </w:r>
      <w:r>
        <w:rPr>
          <w:b/>
        </w:rPr>
        <w:t>.</w:t>
      </w:r>
      <w:r>
        <w:t xml:space="preserve"> </w:t>
      </w:r>
      <w:r w:rsidR="00F726B1">
        <w:t>The price of each portfolio at different time</w:t>
      </w:r>
    </w:p>
    <w:p w:rsidR="00487867" w:rsidRDefault="00487867" w:rsidP="00072445">
      <w:pPr>
        <w:pStyle w:val="heading1"/>
        <w:spacing w:line="480" w:lineRule="auto"/>
        <w:rPr>
          <w:sz w:val="28"/>
        </w:rPr>
      </w:pPr>
      <w:r>
        <w:rPr>
          <w:sz w:val="28"/>
        </w:rPr>
        <w:t>Conclusion</w:t>
      </w:r>
    </w:p>
    <w:p w:rsidR="00487867" w:rsidRDefault="00487867" w:rsidP="00072445">
      <w:pPr>
        <w:spacing w:line="480" w:lineRule="auto"/>
        <w:rPr>
          <w:rFonts w:eastAsiaTheme="minorEastAsia"/>
          <w:sz w:val="24"/>
          <w:lang w:eastAsia="zh-CN"/>
        </w:rPr>
      </w:pPr>
      <w:r w:rsidRPr="00072445">
        <w:rPr>
          <w:rFonts w:eastAsiaTheme="minorEastAsia" w:hint="eastAsia"/>
          <w:sz w:val="24"/>
          <w:szCs w:val="24"/>
          <w:lang w:eastAsia="zh-CN"/>
        </w:rPr>
        <w:t>10 co</w:t>
      </w:r>
      <w:r w:rsidR="00072445" w:rsidRPr="00072445">
        <w:rPr>
          <w:rFonts w:eastAsiaTheme="minorEastAsia" w:hint="eastAsia"/>
          <w:sz w:val="24"/>
          <w:szCs w:val="24"/>
          <w:lang w:eastAsia="zh-CN"/>
        </w:rPr>
        <w:t xml:space="preserve">mponents can represent these 66 </w:t>
      </w:r>
      <w:r w:rsidR="00072445" w:rsidRPr="00072445">
        <w:rPr>
          <w:rFonts w:eastAsiaTheme="minorEastAsia"/>
          <w:sz w:val="24"/>
          <w:szCs w:val="24"/>
          <w:lang w:eastAsia="zh-CN"/>
        </w:rPr>
        <w:t xml:space="preserve">selected stocks according to the </w:t>
      </w:r>
      <w:r w:rsidR="00072445">
        <w:rPr>
          <w:rFonts w:eastAsiaTheme="minorEastAsia"/>
          <w:sz w:val="24"/>
          <w:lang w:eastAsia="zh-CN"/>
        </w:rPr>
        <w:t xml:space="preserve">Kaiser’s rule. Because of the long time period, the Sharpe ratio is less than 0 for each portfolio, which means that </w:t>
      </w:r>
      <w:r w:rsidR="00A239FA">
        <w:rPr>
          <w:rFonts w:eastAsiaTheme="minorEastAsia"/>
          <w:sz w:val="24"/>
          <w:lang w:eastAsia="zh-CN"/>
        </w:rPr>
        <w:t xml:space="preserve">the risk we take is higher than </w:t>
      </w:r>
      <w:r w:rsidR="00A239FA">
        <w:rPr>
          <w:rFonts w:eastAsiaTheme="minorEastAsia"/>
          <w:sz w:val="24"/>
          <w:lang w:eastAsia="zh-CN"/>
        </w:rPr>
        <w:lastRenderedPageBreak/>
        <w:t>the value we receive. So, for sound investors, it is not suggested to hold a stock for too long time.</w:t>
      </w:r>
    </w:p>
    <w:p w:rsidR="00A239FA" w:rsidRDefault="00A239FA" w:rsidP="00072445">
      <w:pPr>
        <w:spacing w:line="480" w:lineRule="auto"/>
        <w:rPr>
          <w:rFonts w:eastAsiaTheme="minorEastAsia"/>
          <w:sz w:val="24"/>
          <w:lang w:eastAsia="zh-CN"/>
        </w:rPr>
      </w:pPr>
      <w:r>
        <w:rPr>
          <w:rFonts w:eastAsiaTheme="minorEastAsia"/>
          <w:sz w:val="24"/>
          <w:lang w:eastAsia="zh-CN"/>
        </w:rPr>
        <w:t xml:space="preserve">The </w:t>
      </w:r>
      <w:r w:rsidRPr="00072445">
        <w:rPr>
          <w:rFonts w:eastAsiaTheme="minorEastAsia"/>
          <w:sz w:val="24"/>
          <w:lang w:eastAsia="zh-CN"/>
        </w:rPr>
        <w:t>ASX200 index</w:t>
      </w:r>
      <w:r>
        <w:rPr>
          <w:rFonts w:eastAsiaTheme="minorEastAsia"/>
          <w:sz w:val="24"/>
          <w:lang w:eastAsia="zh-CN"/>
        </w:rPr>
        <w:t xml:space="preserve"> can no longer represent the market consisting of these 66 stocks due to the lack of too many stocks. So, to really find the effect of PCA in risk diversification. It is more reasonable to reduce the lasting time so as to consider enough stocks. Or you can just create a new index by yourself to reflect the </w:t>
      </w:r>
      <w:r w:rsidR="005A2834">
        <w:rPr>
          <w:rFonts w:eastAsiaTheme="minorEastAsia"/>
          <w:sz w:val="24"/>
          <w:lang w:eastAsia="zh-CN"/>
        </w:rPr>
        <w:t>66-stocks market and compare your portfolio return with the new index to test the effect. These ideas can be considered for further study in future.</w:t>
      </w:r>
    </w:p>
    <w:p w:rsidR="00947C9A" w:rsidRDefault="00947C9A" w:rsidP="00AD497B">
      <w:pPr>
        <w:pStyle w:val="heading1"/>
        <w:spacing w:line="480" w:lineRule="auto"/>
        <w:rPr>
          <w:sz w:val="28"/>
        </w:rPr>
      </w:pPr>
      <w:r>
        <w:rPr>
          <w:sz w:val="28"/>
        </w:rPr>
        <w:t>Appendix</w:t>
      </w:r>
    </w:p>
    <w:p w:rsidR="00CA7164" w:rsidRDefault="00CA7164" w:rsidP="00CA7164">
      <w:pPr>
        <w:pStyle w:val="p1a"/>
        <w:rPr>
          <w:rFonts w:eastAsiaTheme="minorEastAsia"/>
        </w:rPr>
      </w:pPr>
      <w:bookmarkStart w:id="5" w:name="_GoBack"/>
      <w:bookmarkEnd w:id="5"/>
    </w:p>
    <w:p w:rsidR="007F2932" w:rsidRPr="007F2932" w:rsidRDefault="007F2932" w:rsidP="007F2932">
      <w:pPr>
        <w:rPr>
          <w:rFonts w:eastAsiaTheme="minorEastAsia" w:hint="eastAsia"/>
        </w:rPr>
      </w:pPr>
    </w:p>
    <w:p w:rsidR="00947C9A" w:rsidRDefault="00947C9A" w:rsidP="00072445">
      <w:pPr>
        <w:spacing w:line="480" w:lineRule="auto"/>
        <w:rPr>
          <w:rFonts w:eastAsiaTheme="minorEastAsia"/>
          <w:lang w:eastAsia="zh-CN"/>
        </w:rPr>
      </w:pPr>
      <w:r>
        <w:rPr>
          <w:noProof/>
          <w:lang w:eastAsia="zh-CN"/>
        </w:rPr>
        <w:drawing>
          <wp:inline distT="0" distB="0" distL="0" distR="0" wp14:anchorId="79D09408" wp14:editId="7EDAC300">
            <wp:extent cx="4392930" cy="25019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930" cy="2501900"/>
                    </a:xfrm>
                    <a:prstGeom prst="rect">
                      <a:avLst/>
                    </a:prstGeom>
                  </pic:spPr>
                </pic:pic>
              </a:graphicData>
            </a:graphic>
          </wp:inline>
        </w:drawing>
      </w:r>
    </w:p>
    <w:p w:rsidR="003652EE" w:rsidRDefault="003652EE" w:rsidP="003652EE">
      <w:pPr>
        <w:pStyle w:val="figurecaption"/>
        <w:spacing w:line="480" w:lineRule="auto"/>
      </w:pPr>
      <w:r>
        <w:rPr>
          <w:b/>
        </w:rPr>
        <w:lastRenderedPageBreak/>
        <w:t>Fig. 1.</w:t>
      </w:r>
      <w:r>
        <w:t xml:space="preserve"> Bi-plots of relative weights of each stock in components 1 to 10.</w:t>
      </w:r>
    </w:p>
    <w:p w:rsidR="003652EE" w:rsidRPr="003652EE" w:rsidRDefault="003652EE" w:rsidP="00072445">
      <w:pPr>
        <w:spacing w:line="480" w:lineRule="auto"/>
        <w:rPr>
          <w:rFonts w:eastAsiaTheme="minorEastAsia" w:hint="eastAsia"/>
          <w:lang w:eastAsia="zh-CN"/>
        </w:rPr>
      </w:pPr>
    </w:p>
    <w:p w:rsidR="00FF5D8B" w:rsidRPr="003F4796" w:rsidRDefault="009B2539" w:rsidP="00072445">
      <w:pPr>
        <w:pStyle w:val="heading1"/>
        <w:numPr>
          <w:ilvl w:val="0"/>
          <w:numId w:val="0"/>
        </w:numPr>
        <w:spacing w:line="480" w:lineRule="auto"/>
        <w:ind w:left="567" w:hanging="567"/>
        <w:rPr>
          <w:sz w:val="28"/>
        </w:rPr>
      </w:pPr>
      <w:r w:rsidRPr="003F4796">
        <w:rPr>
          <w:sz w:val="28"/>
        </w:rPr>
        <w:t>References</w:t>
      </w:r>
    </w:p>
    <w:p w:rsidR="00D816D4" w:rsidRPr="00D816D4" w:rsidRDefault="00D816D4" w:rsidP="005A2834">
      <w:pPr>
        <w:pStyle w:val="referenceitem"/>
        <w:spacing w:line="480" w:lineRule="auto"/>
        <w:ind w:left="340" w:hanging="113"/>
      </w:pPr>
      <w:r w:rsidRPr="00D816D4">
        <w:t>Jolliffe, I. T. (2002). Principal Component Analysis. Springer Series in Statistics. New York: Springer-Verlag. doi:10.1007/b98835. ISBN 978-0-387-95442-4.</w:t>
      </w:r>
    </w:p>
    <w:p w:rsidR="00D816D4" w:rsidRPr="005A2834" w:rsidRDefault="00D816D4" w:rsidP="005A2834">
      <w:pPr>
        <w:pStyle w:val="referenceitem"/>
        <w:spacing w:line="480" w:lineRule="auto"/>
        <w:ind w:left="340" w:hanging="113"/>
      </w:pPr>
      <w:r w:rsidRPr="00D816D4">
        <w:rPr>
          <w:sz w:val="20"/>
        </w:rPr>
        <w:t xml:space="preserve">Lowenfeld, H. (1909). Investment, an exact science. London: The Financial review of reviews. </w:t>
      </w:r>
    </w:p>
    <w:p w:rsidR="005A2834" w:rsidRDefault="005A2834" w:rsidP="005A2834">
      <w:pPr>
        <w:pStyle w:val="referenceitem"/>
        <w:spacing w:line="480" w:lineRule="auto"/>
        <w:ind w:left="340" w:hanging="113"/>
      </w:pPr>
      <w:r w:rsidRPr="005A2834">
        <w:t>Yang L. An Application of Principal Component Analysis to Stock Portfolio Management: A Thesis Submitted in Partial Fulfilment of the Requirement for the Degree of Master of Commerce in Finance, Department of Economics and Finance, University of Canterbury[M].  University of Canterbury,2015.</w:t>
      </w:r>
    </w:p>
    <w:p w:rsidR="00487867" w:rsidRPr="00606587" w:rsidRDefault="00487867" w:rsidP="00487867">
      <w:pPr>
        <w:pStyle w:val="referenceitem"/>
        <w:numPr>
          <w:ilvl w:val="0"/>
          <w:numId w:val="0"/>
        </w:numPr>
        <w:spacing w:line="480" w:lineRule="auto"/>
      </w:pPr>
    </w:p>
    <w:sectPr w:rsidR="00487867" w:rsidRPr="00606587"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765" w:rsidRDefault="003A3765">
      <w:r>
        <w:separator/>
      </w:r>
    </w:p>
  </w:endnote>
  <w:endnote w:type="continuationSeparator" w:id="0">
    <w:p w:rsidR="003A3765" w:rsidRDefault="003A3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765" w:rsidRDefault="003A3765" w:rsidP="009F7FCE">
      <w:pPr>
        <w:ind w:firstLine="0"/>
      </w:pPr>
      <w:r>
        <w:separator/>
      </w:r>
    </w:p>
  </w:footnote>
  <w:footnote w:type="continuationSeparator" w:id="0">
    <w:p w:rsidR="003A3765" w:rsidRDefault="003A3765"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363" w:rsidRDefault="00102363" w:rsidP="00F321B4">
    <w:pPr>
      <w:pStyle w:val="a6"/>
    </w:pPr>
    <w:r>
      <w:fldChar w:fldCharType="begin"/>
    </w:r>
    <w:r>
      <w:instrText>PAGE   \* MERGEFORMAT</w:instrText>
    </w:r>
    <w:r>
      <w:fldChar w:fldCharType="separate"/>
    </w:r>
    <w:r w:rsidR="00466B00">
      <w:rPr>
        <w:noProof/>
      </w:rP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363" w:rsidRDefault="00102363" w:rsidP="002D48C5">
    <w:pPr>
      <w:pStyle w:val="a6"/>
      <w:jc w:val="right"/>
    </w:pPr>
    <w:r>
      <w:fldChar w:fldCharType="begin"/>
    </w:r>
    <w:r>
      <w:instrText>PAGE   \* MERGEFORMAT</w:instrText>
    </w:r>
    <w:r>
      <w:fldChar w:fldCharType="separate"/>
    </w:r>
    <w:r w:rsidR="00466B00">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5330B"/>
    <w:rsid w:val="00055473"/>
    <w:rsid w:val="00060660"/>
    <w:rsid w:val="00072445"/>
    <w:rsid w:val="000862F0"/>
    <w:rsid w:val="000B58A7"/>
    <w:rsid w:val="000D10DF"/>
    <w:rsid w:val="000F61F7"/>
    <w:rsid w:val="00102363"/>
    <w:rsid w:val="00121D1F"/>
    <w:rsid w:val="00166E2D"/>
    <w:rsid w:val="001A02F0"/>
    <w:rsid w:val="001A4788"/>
    <w:rsid w:val="001C1A2D"/>
    <w:rsid w:val="00215996"/>
    <w:rsid w:val="0027244F"/>
    <w:rsid w:val="00280475"/>
    <w:rsid w:val="002C2B2E"/>
    <w:rsid w:val="002D48C5"/>
    <w:rsid w:val="00320A71"/>
    <w:rsid w:val="003348C8"/>
    <w:rsid w:val="003652EE"/>
    <w:rsid w:val="00382690"/>
    <w:rsid w:val="00385FAD"/>
    <w:rsid w:val="003A3765"/>
    <w:rsid w:val="003D5F5C"/>
    <w:rsid w:val="003F4796"/>
    <w:rsid w:val="00412B45"/>
    <w:rsid w:val="0044755C"/>
    <w:rsid w:val="0045131A"/>
    <w:rsid w:val="0046480B"/>
    <w:rsid w:val="00466B00"/>
    <w:rsid w:val="004740F3"/>
    <w:rsid w:val="00487867"/>
    <w:rsid w:val="005512FE"/>
    <w:rsid w:val="005A2834"/>
    <w:rsid w:val="005B7D89"/>
    <w:rsid w:val="0060328F"/>
    <w:rsid w:val="0060618D"/>
    <w:rsid w:val="006100D5"/>
    <w:rsid w:val="006216EA"/>
    <w:rsid w:val="006309EF"/>
    <w:rsid w:val="00646EF4"/>
    <w:rsid w:val="006745E2"/>
    <w:rsid w:val="006A1334"/>
    <w:rsid w:val="006E7BAD"/>
    <w:rsid w:val="007403D4"/>
    <w:rsid w:val="0074441A"/>
    <w:rsid w:val="00745ED1"/>
    <w:rsid w:val="00772908"/>
    <w:rsid w:val="007F2932"/>
    <w:rsid w:val="00820140"/>
    <w:rsid w:val="00857F51"/>
    <w:rsid w:val="0086207A"/>
    <w:rsid w:val="0086721F"/>
    <w:rsid w:val="008B2054"/>
    <w:rsid w:val="008D13EE"/>
    <w:rsid w:val="008F2D4C"/>
    <w:rsid w:val="00924AB7"/>
    <w:rsid w:val="00925816"/>
    <w:rsid w:val="00947C9A"/>
    <w:rsid w:val="00955269"/>
    <w:rsid w:val="00985EAA"/>
    <w:rsid w:val="009930E4"/>
    <w:rsid w:val="009A3004"/>
    <w:rsid w:val="009B2539"/>
    <w:rsid w:val="009C67B8"/>
    <w:rsid w:val="009F373A"/>
    <w:rsid w:val="009F7FCE"/>
    <w:rsid w:val="00A15005"/>
    <w:rsid w:val="00A239FA"/>
    <w:rsid w:val="00A439C0"/>
    <w:rsid w:val="00A50CAD"/>
    <w:rsid w:val="00A63707"/>
    <w:rsid w:val="00A67F27"/>
    <w:rsid w:val="00A77A0D"/>
    <w:rsid w:val="00AD497B"/>
    <w:rsid w:val="00AE0678"/>
    <w:rsid w:val="00AF0727"/>
    <w:rsid w:val="00B23481"/>
    <w:rsid w:val="00B50A5B"/>
    <w:rsid w:val="00BC29A6"/>
    <w:rsid w:val="00C178B8"/>
    <w:rsid w:val="00C32332"/>
    <w:rsid w:val="00C3462C"/>
    <w:rsid w:val="00C40C29"/>
    <w:rsid w:val="00C54864"/>
    <w:rsid w:val="00C67ADC"/>
    <w:rsid w:val="00C71935"/>
    <w:rsid w:val="00C721BF"/>
    <w:rsid w:val="00C8351E"/>
    <w:rsid w:val="00CA7164"/>
    <w:rsid w:val="00CC50B3"/>
    <w:rsid w:val="00CD16AC"/>
    <w:rsid w:val="00CD6D01"/>
    <w:rsid w:val="00CF7F81"/>
    <w:rsid w:val="00D25502"/>
    <w:rsid w:val="00D816D4"/>
    <w:rsid w:val="00D83AAB"/>
    <w:rsid w:val="00D96B66"/>
    <w:rsid w:val="00DB1679"/>
    <w:rsid w:val="00DB5CC3"/>
    <w:rsid w:val="00DC2CA9"/>
    <w:rsid w:val="00DD264C"/>
    <w:rsid w:val="00DE124F"/>
    <w:rsid w:val="00DE44AF"/>
    <w:rsid w:val="00E21828"/>
    <w:rsid w:val="00E52E58"/>
    <w:rsid w:val="00E603C7"/>
    <w:rsid w:val="00E90998"/>
    <w:rsid w:val="00EB712E"/>
    <w:rsid w:val="00F321B4"/>
    <w:rsid w:val="00F61E66"/>
    <w:rsid w:val="00F62259"/>
    <w:rsid w:val="00F726B1"/>
    <w:rsid w:val="00FC3666"/>
    <w:rsid w:val="00FD6F73"/>
    <w:rsid w:val="00FF4C95"/>
    <w:rsid w:val="00FF5D8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A807DB-F754-44F5-8BBE-212AF135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a9">
    <w:name w:val="Placeholder Text"/>
    <w:basedOn w:val="a0"/>
    <w:semiHidden/>
    <w:rsid w:val="00DD26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44">
      <w:bodyDiv w:val="1"/>
      <w:marLeft w:val="0"/>
      <w:marRight w:val="0"/>
      <w:marTop w:val="0"/>
      <w:marBottom w:val="0"/>
      <w:divBdr>
        <w:top w:val="none" w:sz="0" w:space="0" w:color="auto"/>
        <w:left w:val="none" w:sz="0" w:space="0" w:color="auto"/>
        <w:bottom w:val="none" w:sz="0" w:space="0" w:color="auto"/>
        <w:right w:val="none" w:sz="0" w:space="0" w:color="auto"/>
      </w:divBdr>
    </w:div>
    <w:div w:id="170996064">
      <w:bodyDiv w:val="1"/>
      <w:marLeft w:val="0"/>
      <w:marRight w:val="0"/>
      <w:marTop w:val="0"/>
      <w:marBottom w:val="0"/>
      <w:divBdr>
        <w:top w:val="none" w:sz="0" w:space="0" w:color="auto"/>
        <w:left w:val="none" w:sz="0" w:space="0" w:color="auto"/>
        <w:bottom w:val="none" w:sz="0" w:space="0" w:color="auto"/>
        <w:right w:val="none" w:sz="0" w:space="0" w:color="auto"/>
      </w:divBdr>
    </w:div>
    <w:div w:id="210117067">
      <w:bodyDiv w:val="1"/>
      <w:marLeft w:val="0"/>
      <w:marRight w:val="0"/>
      <w:marTop w:val="0"/>
      <w:marBottom w:val="0"/>
      <w:divBdr>
        <w:top w:val="none" w:sz="0" w:space="0" w:color="auto"/>
        <w:left w:val="none" w:sz="0" w:space="0" w:color="auto"/>
        <w:bottom w:val="none" w:sz="0" w:space="0" w:color="auto"/>
        <w:right w:val="none" w:sz="0" w:space="0" w:color="auto"/>
      </w:divBdr>
    </w:div>
    <w:div w:id="212886058">
      <w:bodyDiv w:val="1"/>
      <w:marLeft w:val="0"/>
      <w:marRight w:val="0"/>
      <w:marTop w:val="0"/>
      <w:marBottom w:val="0"/>
      <w:divBdr>
        <w:top w:val="none" w:sz="0" w:space="0" w:color="auto"/>
        <w:left w:val="none" w:sz="0" w:space="0" w:color="auto"/>
        <w:bottom w:val="none" w:sz="0" w:space="0" w:color="auto"/>
        <w:right w:val="none" w:sz="0" w:space="0" w:color="auto"/>
      </w:divBdr>
    </w:div>
    <w:div w:id="382798405">
      <w:bodyDiv w:val="1"/>
      <w:marLeft w:val="0"/>
      <w:marRight w:val="0"/>
      <w:marTop w:val="0"/>
      <w:marBottom w:val="0"/>
      <w:divBdr>
        <w:top w:val="none" w:sz="0" w:space="0" w:color="auto"/>
        <w:left w:val="none" w:sz="0" w:space="0" w:color="auto"/>
        <w:bottom w:val="none" w:sz="0" w:space="0" w:color="auto"/>
        <w:right w:val="none" w:sz="0" w:space="0" w:color="auto"/>
      </w:divBdr>
    </w:div>
    <w:div w:id="401411045">
      <w:bodyDiv w:val="1"/>
      <w:marLeft w:val="0"/>
      <w:marRight w:val="0"/>
      <w:marTop w:val="0"/>
      <w:marBottom w:val="0"/>
      <w:divBdr>
        <w:top w:val="none" w:sz="0" w:space="0" w:color="auto"/>
        <w:left w:val="none" w:sz="0" w:space="0" w:color="auto"/>
        <w:bottom w:val="none" w:sz="0" w:space="0" w:color="auto"/>
        <w:right w:val="none" w:sz="0" w:space="0" w:color="auto"/>
      </w:divBdr>
      <w:divsChild>
        <w:div w:id="1061713667">
          <w:marLeft w:val="0"/>
          <w:marRight w:val="0"/>
          <w:marTop w:val="0"/>
          <w:marBottom w:val="0"/>
          <w:divBdr>
            <w:top w:val="none" w:sz="0" w:space="0" w:color="auto"/>
            <w:left w:val="none" w:sz="0" w:space="0" w:color="auto"/>
            <w:bottom w:val="none" w:sz="0" w:space="0" w:color="auto"/>
            <w:right w:val="none" w:sz="0" w:space="0" w:color="auto"/>
          </w:divBdr>
        </w:div>
      </w:divsChild>
    </w:div>
    <w:div w:id="466824971">
      <w:bodyDiv w:val="1"/>
      <w:marLeft w:val="0"/>
      <w:marRight w:val="0"/>
      <w:marTop w:val="0"/>
      <w:marBottom w:val="0"/>
      <w:divBdr>
        <w:top w:val="none" w:sz="0" w:space="0" w:color="auto"/>
        <w:left w:val="none" w:sz="0" w:space="0" w:color="auto"/>
        <w:bottom w:val="none" w:sz="0" w:space="0" w:color="auto"/>
        <w:right w:val="none" w:sz="0" w:space="0" w:color="auto"/>
      </w:divBdr>
    </w:div>
    <w:div w:id="576289401">
      <w:bodyDiv w:val="1"/>
      <w:marLeft w:val="0"/>
      <w:marRight w:val="0"/>
      <w:marTop w:val="0"/>
      <w:marBottom w:val="0"/>
      <w:divBdr>
        <w:top w:val="none" w:sz="0" w:space="0" w:color="auto"/>
        <w:left w:val="none" w:sz="0" w:space="0" w:color="auto"/>
        <w:bottom w:val="none" w:sz="0" w:space="0" w:color="auto"/>
        <w:right w:val="none" w:sz="0" w:space="0" w:color="auto"/>
      </w:divBdr>
    </w:div>
    <w:div w:id="881020150">
      <w:bodyDiv w:val="1"/>
      <w:marLeft w:val="0"/>
      <w:marRight w:val="0"/>
      <w:marTop w:val="0"/>
      <w:marBottom w:val="0"/>
      <w:divBdr>
        <w:top w:val="none" w:sz="0" w:space="0" w:color="auto"/>
        <w:left w:val="none" w:sz="0" w:space="0" w:color="auto"/>
        <w:bottom w:val="none" w:sz="0" w:space="0" w:color="auto"/>
        <w:right w:val="none" w:sz="0" w:space="0" w:color="auto"/>
      </w:divBdr>
    </w:div>
    <w:div w:id="904755523">
      <w:bodyDiv w:val="1"/>
      <w:marLeft w:val="0"/>
      <w:marRight w:val="0"/>
      <w:marTop w:val="0"/>
      <w:marBottom w:val="0"/>
      <w:divBdr>
        <w:top w:val="none" w:sz="0" w:space="0" w:color="auto"/>
        <w:left w:val="none" w:sz="0" w:space="0" w:color="auto"/>
        <w:bottom w:val="none" w:sz="0" w:space="0" w:color="auto"/>
        <w:right w:val="none" w:sz="0" w:space="0" w:color="auto"/>
      </w:divBdr>
    </w:div>
    <w:div w:id="917519032">
      <w:bodyDiv w:val="1"/>
      <w:marLeft w:val="0"/>
      <w:marRight w:val="0"/>
      <w:marTop w:val="0"/>
      <w:marBottom w:val="0"/>
      <w:divBdr>
        <w:top w:val="none" w:sz="0" w:space="0" w:color="auto"/>
        <w:left w:val="none" w:sz="0" w:space="0" w:color="auto"/>
        <w:bottom w:val="none" w:sz="0" w:space="0" w:color="auto"/>
        <w:right w:val="none" w:sz="0" w:space="0" w:color="auto"/>
      </w:divBdr>
    </w:div>
    <w:div w:id="1008558019">
      <w:bodyDiv w:val="1"/>
      <w:marLeft w:val="0"/>
      <w:marRight w:val="0"/>
      <w:marTop w:val="0"/>
      <w:marBottom w:val="0"/>
      <w:divBdr>
        <w:top w:val="none" w:sz="0" w:space="0" w:color="auto"/>
        <w:left w:val="none" w:sz="0" w:space="0" w:color="auto"/>
        <w:bottom w:val="none" w:sz="0" w:space="0" w:color="auto"/>
        <w:right w:val="none" w:sz="0" w:space="0" w:color="auto"/>
      </w:divBdr>
    </w:div>
    <w:div w:id="1275331261">
      <w:bodyDiv w:val="1"/>
      <w:marLeft w:val="0"/>
      <w:marRight w:val="0"/>
      <w:marTop w:val="0"/>
      <w:marBottom w:val="0"/>
      <w:divBdr>
        <w:top w:val="none" w:sz="0" w:space="0" w:color="auto"/>
        <w:left w:val="none" w:sz="0" w:space="0" w:color="auto"/>
        <w:bottom w:val="none" w:sz="0" w:space="0" w:color="auto"/>
        <w:right w:val="none" w:sz="0" w:space="0" w:color="auto"/>
      </w:divBdr>
    </w:div>
    <w:div w:id="1322386987">
      <w:bodyDiv w:val="1"/>
      <w:marLeft w:val="0"/>
      <w:marRight w:val="0"/>
      <w:marTop w:val="0"/>
      <w:marBottom w:val="0"/>
      <w:divBdr>
        <w:top w:val="none" w:sz="0" w:space="0" w:color="auto"/>
        <w:left w:val="none" w:sz="0" w:space="0" w:color="auto"/>
        <w:bottom w:val="none" w:sz="0" w:space="0" w:color="auto"/>
        <w:right w:val="none" w:sz="0" w:space="0" w:color="auto"/>
      </w:divBdr>
    </w:div>
    <w:div w:id="1772168508">
      <w:bodyDiv w:val="1"/>
      <w:marLeft w:val="0"/>
      <w:marRight w:val="0"/>
      <w:marTop w:val="0"/>
      <w:marBottom w:val="0"/>
      <w:divBdr>
        <w:top w:val="none" w:sz="0" w:space="0" w:color="auto"/>
        <w:left w:val="none" w:sz="0" w:space="0" w:color="auto"/>
        <w:bottom w:val="none" w:sz="0" w:space="0" w:color="auto"/>
        <w:right w:val="none" w:sz="0" w:space="0" w:color="auto"/>
      </w:divBdr>
    </w:div>
    <w:div w:id="1824154289">
      <w:bodyDiv w:val="1"/>
      <w:marLeft w:val="0"/>
      <w:marRight w:val="0"/>
      <w:marTop w:val="0"/>
      <w:marBottom w:val="0"/>
      <w:divBdr>
        <w:top w:val="none" w:sz="0" w:space="0" w:color="auto"/>
        <w:left w:val="none" w:sz="0" w:space="0" w:color="auto"/>
        <w:bottom w:val="none" w:sz="0" w:space="0" w:color="auto"/>
        <w:right w:val="none" w:sz="0" w:space="0" w:color="auto"/>
      </w:divBdr>
    </w:div>
    <w:div w:id="1837186039">
      <w:bodyDiv w:val="1"/>
      <w:marLeft w:val="0"/>
      <w:marRight w:val="0"/>
      <w:marTop w:val="0"/>
      <w:marBottom w:val="0"/>
      <w:divBdr>
        <w:top w:val="none" w:sz="0" w:space="0" w:color="auto"/>
        <w:left w:val="none" w:sz="0" w:space="0" w:color="auto"/>
        <w:bottom w:val="none" w:sz="0" w:space="0" w:color="auto"/>
        <w:right w:val="none" w:sz="0" w:space="0" w:color="auto"/>
      </w:divBdr>
    </w:div>
    <w:div w:id="1890536217">
      <w:bodyDiv w:val="1"/>
      <w:marLeft w:val="0"/>
      <w:marRight w:val="0"/>
      <w:marTop w:val="0"/>
      <w:marBottom w:val="0"/>
      <w:divBdr>
        <w:top w:val="none" w:sz="0" w:space="0" w:color="auto"/>
        <w:left w:val="none" w:sz="0" w:space="0" w:color="auto"/>
        <w:bottom w:val="none" w:sz="0" w:space="0" w:color="auto"/>
        <w:right w:val="none" w:sz="0" w:space="0" w:color="auto"/>
      </w:divBdr>
    </w:div>
    <w:div w:id="1964193361">
      <w:bodyDiv w:val="1"/>
      <w:marLeft w:val="0"/>
      <w:marRight w:val="0"/>
      <w:marTop w:val="0"/>
      <w:marBottom w:val="0"/>
      <w:divBdr>
        <w:top w:val="none" w:sz="0" w:space="0" w:color="auto"/>
        <w:left w:val="none" w:sz="0" w:space="0" w:color="auto"/>
        <w:bottom w:val="none" w:sz="0" w:space="0" w:color="auto"/>
        <w:right w:val="none" w:sz="0" w:space="0" w:color="auto"/>
      </w:divBdr>
    </w:div>
    <w:div w:id="2068793265">
      <w:bodyDiv w:val="1"/>
      <w:marLeft w:val="0"/>
      <w:marRight w:val="0"/>
      <w:marTop w:val="0"/>
      <w:marBottom w:val="0"/>
      <w:divBdr>
        <w:top w:val="none" w:sz="0" w:space="0" w:color="auto"/>
        <w:left w:val="none" w:sz="0" w:space="0" w:color="auto"/>
        <w:bottom w:val="none" w:sz="0" w:space="0" w:color="auto"/>
        <w:right w:val="none" w:sz="0" w:space="0" w:color="auto"/>
      </w:divBdr>
    </w:div>
    <w:div w:id="2116903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名称排序" Version="2003">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9DB77CF-5B57-4459-83EF-FE77ED04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5963</TotalTime>
  <Pages>9</Pages>
  <Words>1045</Words>
  <Characters>5963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1023920870@qq.com</cp:lastModifiedBy>
  <cp:revision>1</cp:revision>
  <cp:lastPrinted>2021-12-15T15:29:00Z</cp:lastPrinted>
  <dcterms:created xsi:type="dcterms:W3CDTF">2021-11-28T01:36:00Z</dcterms:created>
  <dcterms:modified xsi:type="dcterms:W3CDTF">2021-12-15T17:18:00Z</dcterms:modified>
</cp:coreProperties>
</file>