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b/>
          <w:bCs/>
          <w:color w:val="1b2733"/>
          <w:sz w:val="64"/>
          <w:szCs w:val="64"/>
        </w:rPr>
        <w:t xml:space="preserve">CAD 360</w:t>
      </w:r>
    </w:p>
    <w:p>
      <w:pPr>
        <w:spacing w:after="40"/>
      </w:pPr>
      <w:r>
        <w:rPr>
          <w:rFonts w:ascii="Arial" w:cs="Arial" w:eastAsia="Arial" w:hAnsi="Arial"/>
          <w:color w:val="0e6e7d"/>
          <w:sz w:val="30"/>
          <w:szCs w:val="30"/>
        </w:rPr>
        <w:t xml:space="preserve">Cetoacidose Diabética como Sistema Dinâmico</w:t>
      </w:r>
    </w:p>
    <w:p>
      <w:pPr>
        <w:spacing w:after="300"/>
      </w:pPr>
      <w:r>
        <w:rPr>
          <w:rFonts w:ascii="Arial" w:cs="Arial" w:eastAsia="Arial" w:hAnsi="Arial"/>
          <w:color w:val="5b6770"/>
          <w:sz w:val="22"/>
          <w:szCs w:val="22"/>
        </w:rPr>
        <w:t xml:space="preserve">Auditoria de projeto + reescrita executável + núcleo pedagógico</w:t>
      </w:r>
    </w:p>
    <w:p>
      <w:pPr>
        <w:spacing w:after="0"/>
      </w:pPr>
      <w:r>
        <w:rPr>
          <w:rFonts w:ascii="Arial" w:cs="Arial" w:eastAsia="Arial" w:hAnsi="Arial"/>
          <w:i/>
          <w:iCs/>
          <w:color w:val="5b6770"/>
          <w:sz w:val="20"/>
          <w:szCs w:val="20"/>
        </w:rPr>
        <w:t xml:space="preserve">Aprofundamento de projeto de tecnologia em saúde — uso pessoal (não-SaMD)</w:t>
      </w:r>
    </w:p>
    <w:p>
      <w:pPr>
        <w:spacing w:after="0"/>
      </w:pPr>
      <w:r>
        <w:rPr>
          <w:rFonts w:ascii="Arial" w:cs="Arial" w:eastAsia="Arial" w:hAnsi="Arial"/>
          <w:color w:val="5b6770"/>
          <w:sz w:val="20"/>
          <w:szCs w:val="20"/>
        </w:rPr>
        <w:t xml:space="preserve">Dr. Matheus M. Coelho · CRM-SP 151.318 · Limeira/SP</w:t>
      </w:r>
    </w:p>
    <w:p>
      <w:pPr>
        <w:spacing w:after="0" w:before="600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Fonte de verdade clínica: consenso ADA/EASD/JBDS/AACE/DTS 2024 (Umpierrez et al., Diabetes Care 2024;47(8):1257–1275).</w:t>
      </w:r>
    </w:p>
    <w:p>
      <w:pPr>
        <w:pStyle w:val="Heading1"/>
        <w:pageBreakBefore/>
        <w:spacing w:after="160" w:before="300"/>
      </w:pPr>
      <w:r>
        <w:rPr>
          <w:rFonts w:ascii="Arial" w:cs="Arial" w:eastAsia="Arial" w:hAnsi="Arial"/>
          <w:b/>
          <w:bCs/>
          <w:color w:val="1b2733"/>
          <w:sz w:val="30"/>
          <w:szCs w:val="30"/>
        </w:rPr>
        <w:t xml:space="preserve">Parte I — Auditoria (Fase 1)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1. Veredito macro</w:t>
      </w:r>
    </w:p>
    <w:p>
      <w:pPr>
        <w:spacing w:after="160" w:line="288"/>
      </w:pPr>
      <w:r>
        <w:rPr>
          <w:rFonts w:ascii="Arial" w:cs="Arial" w:eastAsia="Arial" w:hAnsi="Arial"/>
        </w:rPr>
        <w:t xml:space="preserve">Isto não é teatro de planejamento — é o oposto. A fisiologia do plano está correta, é profunda e está ancorada em fonte real (Endotext 2025, JBDS), o avesso do padrão de falha "blog corporativo". O problema não é falta de substância. É que o documento é uma </w:t>
      </w:r>
      <w:r>
        <w:rPr>
          <w:rFonts w:ascii="Arial" w:cs="Arial" w:eastAsia="Arial" w:hAnsi="Arial"/>
          <w:b/>
          <w:bCs/>
        </w:rPr>
        <w:t xml:space="preserve">visão de design forte</w:t>
      </w:r>
      <w:r>
        <w:rPr>
          <w:rFonts w:ascii="Arial" w:cs="Arial" w:eastAsia="Arial" w:hAnsi="Arial"/>
        </w:rPr>
        <w:t xml:space="preserve">, não ainda um plano executável: não tem custo, cronograma, equipe, estratégia de conteúdo, critério de kill nem métrica de desfecho de aprendizagem. Tratar a visão como roadmap leva a compromissos com prazos que não vão bater. A reescrita (Parte II) supre esse andaime; o núcleo pedagógico (Parte III) entrega a profundidade prática pedida.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2. Resolução SaMD pelo Eixo 0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skill foi atualizada para decidir o gate SaMD pela </w:t>
      </w:r>
      <w:r>
        <w:rPr>
          <w:rFonts w:ascii="Arial" w:cs="Arial" w:eastAsia="Arial" w:hAnsi="Arial"/>
          <w:b/>
          <w:bCs/>
        </w:rPr>
        <w:t xml:space="preserve">destinação de uso</w:t>
      </w:r>
      <w:r>
        <w:rPr>
          <w:rFonts w:ascii="Arial" w:cs="Arial" w:eastAsia="Arial" w:hAnsi="Arial"/>
        </w:rPr>
        <w:t xml:space="preserve">, não pela função isolada — alinhado à RDC 657/2022 (ANVISA) e ao enquadramento IMDRF, em que dispositivo médico é software </w:t>
      </w:r>
      <w:r>
        <w:rPr>
          <w:rFonts w:ascii="Arial" w:cs="Arial" w:eastAsia="Arial" w:hAnsi="Arial"/>
          <w:i/>
          <w:iCs/>
        </w:rPr>
        <w:t xml:space="preserve">colocado no mercado / distribuído a terceiros</w:t>
      </w:r>
      <w:r>
        <w:rPr>
          <w:rFonts w:ascii="Arial" w:cs="Arial" w:eastAsia="Arial" w:hAnsi="Arial"/>
        </w:rPr>
        <w:t xml:space="preserve">. CAD 360 é declarado de uso pessoal exclusivo, com o autor como humano-no-loop. Logo o gate regulatório não dispara e o motor de conduta sobrevive à Fase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8a5a00" w:sz="18"/>
              <w:bottom w:val="single" w:color="cfd9e0" w:sz="2"/>
              <w:right w:val="single" w:color="cfd9e0" w:sz="2"/>
            </w:tcBorders>
            <w:shd w:fill="fbf4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a5a00"/>
                <w:sz w:val="18"/>
                <w:szCs w:val="18"/>
              </w:rPr>
              <w:t xml:space="preserve">NOTA DE USO PESSOAL + TRIPWIRE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A etiqueta "uso pessoal" muda o regime regulatório, não a física do erro. A Tela Conduta segue no projeto sob três condições não-negociáveis: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(1) validada contra a fonte de verdade versionada; (2) responsabilidade clínica integral do autor por qualquer saída usada em paciente real; (3) </w:t>
            </w:r>
            <w:r>
              <w:rPr>
                <w:rFonts w:ascii="Arial" w:cs="Arial" w:eastAsia="Arial" w:hAnsi="Arial"/>
                <w:b/>
                <w:bCs/>
              </w:rPr>
              <w:t xml:space="preserve">tripwire</w:t>
            </w:r>
            <w:r>
              <w:rPr>
                <w:rFonts w:ascii="Arial" w:cs="Arial" w:eastAsia="Arial" w:hAnsi="Arial"/>
              </w:rPr>
              <w:t xml:space="preserve"> — no instante em que for compartilhada, cedida a outro clínico ou embarcada em fluxo institucional sobre paciente real, reclassifica como SaMD e exige o gate regulatório completo.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3. Achados estruturais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b2733"/>
          <w:sz w:val="22"/>
          <w:szCs w:val="22"/>
        </w:rPr>
        <w:t xml:space="preserve">3.1 Reinvenção da base instalada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 achado central: o plano reespecifica o que você já construiu. O motor fisiológico (</w:t>
      </w:r>
      <w:r>
        <w:rPr>
          <w:rFonts w:ascii="Consolas" w:cs="Consolas" w:eastAsia="Consolas" w:hAnsi="Consolas"/>
          <w:sz w:val="18"/>
          <w:szCs w:val="18"/>
        </w:rPr>
        <w:t xml:space="preserve">anionGap, correctedAG, deltaRatio, winter, effectiveOsm, correctedNa</w:t>
      </w:r>
      <w:r>
        <w:rPr>
          <w:rFonts w:ascii="Arial" w:cs="Arial" w:eastAsia="Arial" w:hAnsi="Arial"/>
        </w:rPr>
        <w:t xml:space="preserve">) já está escrito no painel de evolução e nas calculadoras do tratado — com o fator condicional 2,4 para glicose &gt; 400 inclusive. O Módulo 10 ("gasometria como filme") ≈ painel de evolução + §3/§10 do tratado. Os Módulos 2 e 4–9 ≈ conteúdo dos §2–9, re-modularizado.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 que é </w:t>
      </w:r>
      <w:r>
        <w:rPr>
          <w:rFonts w:ascii="Arial" w:cs="Arial" w:eastAsia="Arial" w:hAnsi="Arial"/>
          <w:b/>
          <w:bCs/>
        </w:rPr>
        <w:t xml:space="preserve">genuinamente novo e não-SaMD</w:t>
      </w:r>
      <w:r>
        <w:rPr>
          <w:rFonts w:ascii="Arial" w:cs="Arial" w:eastAsia="Arial" w:hAnsi="Arial"/>
        </w:rPr>
        <w:t xml:space="preserve"> se reduz a três coisas: a largura de fenótipo (euglicêmica, HHS, cetose alcoólica/jejum, tóxico, gestante, DRC), o simulador vivo (paciente virtual manipulável), e o loop socrático. ~70% do motor existe; o novo é ~30% (fenótipos + simulação + pedagogia). Reframe correto: CAD 360 não é "construir um motor" — é "estender o motor de 1 fenótipo para N, embrulhado em simulador e casca socrática".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b2733"/>
          <w:sz w:val="22"/>
          <w:szCs w:val="22"/>
        </w:rPr>
        <w:t xml:space="preserve">3.2 Risco de consistência (específico, fonte-ancorado)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 plano cita limiar de potássio como "repor quando K &lt; 5,5" (JBDS). O tratado foi </w:t>
      </w:r>
      <w:r>
        <w:rPr>
          <w:rFonts w:ascii="Arial" w:cs="Arial" w:eastAsia="Arial" w:hAnsi="Arial"/>
          <w:b/>
          <w:bCs/>
        </w:rPr>
        <w:t xml:space="preserve">corrigido esta semana para o consenso 2024</w:t>
      </w:r>
      <w:r>
        <w:rPr>
          <w:rFonts w:ascii="Arial" w:cs="Arial" w:eastAsia="Arial" w:hAnsi="Arial"/>
        </w:rPr>
        <w:t xml:space="preserve"> (Umpierrez 2024), que usa K &lt; 5,0, alvo 4–5. Dois números contraditórios sobre a mesma decisão. Ambos existem na literatura — o ponto não é qual é "o certo", é que ferramenta de ensino exige uma fonte de verdade </w:t>
      </w:r>
      <w:r>
        <w:rPr>
          <w:rFonts w:ascii="Arial" w:cs="Arial" w:eastAsia="Arial" w:hAnsi="Arial"/>
          <w:i/>
          <w:iCs/>
        </w:rPr>
        <w:t xml:space="preserve">única e versionada</w:t>
      </w:r>
      <w:r>
        <w:rPr>
          <w:rFonts w:ascii="Arial" w:cs="Arial" w:eastAsia="Arial" w:hAnsi="Arial"/>
        </w:rPr>
        <w:t xml:space="preserve">, e ela tem que ser a mesma do tratado. Idem para as bandas de Δ/Δ (plano: 0,4/0,8/2,0; painel: referência em 1 e 2). A Parte II fixa a doutrina.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4. Lacunas para virar plano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Doutrina de fonte de verdade</w:t>
      </w:r>
      <w:r>
        <w:rPr>
          <w:rFonts w:ascii="Arial" w:cs="Arial" w:eastAsia="Arial" w:hAnsi="Arial"/>
        </w:rPr>
        <w:t xml:space="preserve"> — um consenso, versionado, para nenhum módulo contradizer outro nem o tratado.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Métrica de desfecho de aprendizagem</w:t>
      </w:r>
      <w:r>
        <w:rPr>
          <w:rFonts w:ascii="Arial" w:cs="Arial" w:eastAsia="Arial" w:hAnsi="Arial"/>
        </w:rPr>
        <w:t xml:space="preserve"> — é ferramenta educacional sem definição de "funcionou" (pré/pós-teste de reconhecimento de fenótipo; tempo até classificação correta).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Revisor clínico segundo + design instrucional</w:t>
      </w:r>
      <w:r>
        <w:rPr>
          <w:rFonts w:ascii="Arial" w:cs="Arial" w:eastAsia="Arial" w:hAnsi="Arial"/>
        </w:rPr>
        <w:t xml:space="preserve"> — peer-review em escala de 12 módulos não fecha sozinho.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Origem dos casos</w:t>
      </w:r>
      <w:r>
        <w:rPr>
          <w:rFonts w:ascii="Arial" w:cs="Arial" w:eastAsia="Arial" w:hAnsi="Arial"/>
        </w:rPr>
        <w:t xml:space="preserve"> — sintéticos (limpo) vs. reais anonimizados (reabre LGPD + firewall). Recomendação: sintéticos para ensino.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Critério de kill e banda real</w:t>
      </w:r>
      <w:r>
        <w:rPr>
          <w:rFonts w:ascii="Arial" w:cs="Arial" w:eastAsia="Arial" w:hAnsi="Arial"/>
        </w:rPr>
        <w:t xml:space="preserve"> — quando abandonar; e o reconhecimento de que você é cuidador principal do seu pai, com carga assistencial e jurídica em paralelo.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5. Caminho assumido (declarado)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Você não escolheu 1/2/3 explicitamente, mas o pedido — "robustíssimo, repleto de prática, atividades, exercícios, raciocínio socrático, didática aplicada a projetos" — é sinal direto de </w:t>
      </w:r>
      <w:r>
        <w:rPr>
          <w:rFonts w:ascii="Arial" w:cs="Arial" w:eastAsia="Arial" w:hAnsi="Arial"/>
          <w:b/>
          <w:bCs/>
        </w:rPr>
        <w:t xml:space="preserve">escopo educacional completo sobre a base instalada</w:t>
      </w:r>
      <w:r>
        <w:rPr>
          <w:rFonts w:ascii="Arial" w:cs="Arial" w:eastAsia="Arial" w:hAnsi="Arial"/>
        </w:rPr>
        <w:t xml:space="preserve">. A skill manda assumir e declarar. Assumo o 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e6e7d"/>
        </w:rPr>
        <w:t xml:space="preserve">Caminho 2 — Consolidação</w:t>
      </w:r>
      <w:r>
        <w:rPr>
          <w:rFonts w:ascii="Arial" w:cs="Arial" w:eastAsia="Arial" w:hAnsi="Arial"/>
        </w:rPr>
        <w:t xml:space="preserve">: CAD 360 como sistema educacional vivo construído sobre o tratado + painel de evolução, com a dimensão de fenótipo como expansão. Preserva a ambição pedagógica, reaproveita a base (movimento estrutural correto) e mantém tudo não-SaMD/uso pessoal. Se você quisesse o Caminho 1 (corte duro) ou 3 (tese quantitativa), redirecione — a Parte II inteira muda.</w:t>
      </w:r>
    </w:p>
    <w:p>
      <w:pPr>
        <w:pStyle w:val="Heading1"/>
        <w:pageBreakBefore/>
        <w:spacing w:after="160" w:before="300"/>
      </w:pPr>
      <w:r>
        <w:rPr>
          <w:rFonts w:ascii="Arial" w:cs="Arial" w:eastAsia="Arial" w:hAnsi="Arial"/>
          <w:b/>
          <w:bCs/>
          <w:color w:val="1b2733"/>
          <w:sz w:val="30"/>
          <w:szCs w:val="30"/>
        </w:rPr>
        <w:t xml:space="preserve">Parte II — Reescrita executável (Fase 2)</w:t>
      </w:r>
    </w:p>
    <w:p>
      <w:pPr>
        <w:spacing w:after="160"/>
      </w:pPr>
      <w:r>
        <w:rPr>
          <w:rFonts w:ascii="Arial" w:cs="Arial" w:eastAsia="Arial" w:hAnsi="Arial"/>
        </w:rPr>
        <w:t xml:space="preserve">CAD 360, reescrito sob o Caminho 2, seguindo as 12 seções obrigatórias da estrutura de reescrita. Uso pessoal; fonte de verdade = consenso 2024.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1. Tese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0e6e7d" w:sz="18"/>
              <w:bottom w:val="single" w:color="cfd9e0" w:sz="2"/>
              <w:right w:val="single" w:color="cfd9e0" w:sz="2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</w:rPr>
              <w:t xml:space="preserve">Atlas-simulador interativo, offline e de uso pessoal, que ensina o autor a reconhecer o </w:t>
            </w:r>
            <w:r>
              <w:rPr>
                <w:rFonts w:ascii="Arial" w:cs="Arial" w:eastAsia="Arial" w:hAnsi="Arial"/>
                <w:b/>
                <w:bCs/>
              </w:rPr>
              <w:t xml:space="preserve">estado metabólico real</w:t>
            </w:r>
            <w:r>
              <w:rPr>
                <w:rFonts w:ascii="Arial" w:cs="Arial" w:eastAsia="Arial" w:hAnsi="Arial"/>
              </w:rPr>
              <w:t xml:space="preserve"> por trás da CAD em múltiplos fenótipos (clássica, euglicêmica, pré-CAD, HHS-overlap, hiperclorêmica pós-tratamento, gestante, DRC, cetose alcoólica/jejum, tóxico), construído sobre o motor fisiológico já existente (tratado + painel de evolução), com loop socrático, calculadoras determinísticas interpretadas pelo autor, e séries temporais como casos — entregando reconhecimento de fenótipo e leitura de tendência, não recitação de protocolo.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2. Gap real que resolve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Existe</w:t>
      </w:r>
      <w:r>
        <w:rPr>
          <w:rFonts w:ascii="Arial" w:cs="Arial" w:eastAsia="Arial" w:hAnsi="Arial"/>
        </w:rPr>
        <w:t xml:space="preserve"> material farto de CAD (UpToDate, Endotext, JBDS, o próprio tratado §0–12) e simuladores comerciais (Body Interact, SimMan). </w:t>
      </w:r>
      <w:r>
        <w:rPr>
          <w:rFonts w:ascii="Arial" w:cs="Arial" w:eastAsia="Arial" w:hAnsi="Arial"/>
          <w:b/>
          <w:bCs/>
        </w:rPr>
        <w:t xml:space="preserve">Não basta</w:t>
      </w:r>
      <w:r>
        <w:rPr>
          <w:rFonts w:ascii="Arial" w:cs="Arial" w:eastAsia="Arial" w:hAnsi="Arial"/>
        </w:rPr>
        <w:t xml:space="preserve"> porque (a) todo o material canônico é mono-fenótipo-profundo ou multi-fenótipo-raso, e quase nenhum trata CAD como sistema dinâmico no tempo; (b) os simuladores comerciais são caros, genéricos e não calibrados para UPA/SUS; (c) nenhum acopla a leitura de série temporal (filme, não foto) ao raciocínio socrático sobre fenótipo. </w:t>
      </w:r>
      <w:r>
        <w:rPr>
          <w:rFonts w:ascii="Arial" w:cs="Arial" w:eastAsia="Arial" w:hAnsi="Arial"/>
          <w:b/>
          <w:bCs/>
        </w:rPr>
        <w:t xml:space="preserve">Difere</w:t>
      </w:r>
      <w:r>
        <w:rPr>
          <w:rFonts w:ascii="Arial" w:cs="Arial" w:eastAsia="Arial" w:hAnsi="Arial"/>
        </w:rPr>
        <w:t xml:space="preserve"> por ser a extensão multi-fenótipo do motor que o autor já validou, com a tendência temporal como eixo central e o cloro/Δ-Δ como variável ativa de ensino.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3. Alavancagem de expertise e base instalada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Reaproveita (não reconstrói):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Motor fisiológico</w:t>
      </w:r>
      <w:r>
        <w:rPr>
          <w:rFonts w:ascii="Arial" w:cs="Arial" w:eastAsia="Arial" w:hAnsi="Arial"/>
        </w:rPr>
        <w:t xml:space="preserve"> — AG, AGc, Δ/Δ, Winter, Na corrigido, osmolaridade já implementados no painel de evolução e nas 4 calculadoras do tratado. Vira o core compartilhado.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Painel de evolução (12 gráficos + stepper + narrativa por ponto)</w:t>
      </w:r>
      <w:r>
        <w:rPr>
          <w:rFonts w:ascii="Arial" w:cs="Arial" w:eastAsia="Arial" w:hAnsi="Arial"/>
        </w:rPr>
        <w:t xml:space="preserve"> — vira o "case-player" de série temporal, parametrizado por fenótipo.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Tratado §0–12</w:t>
      </w:r>
      <w:r>
        <w:rPr>
          <w:rFonts w:ascii="Arial" w:cs="Arial" w:eastAsia="Arial" w:hAnsi="Arial"/>
        </w:rPr>
        <w:t xml:space="preserve"> — teoria, mermaid, banco de questões: vira a camada de conteúdo dos módulos.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Arquitetura modular do CVC Academy v17 / Heuristicina</w:t>
      </w:r>
      <w:r>
        <w:rPr>
          <w:rFonts w:ascii="Arial" w:cs="Arial" w:eastAsia="Arial" w:hAnsi="Arial"/>
        </w:rPr>
        <w:t xml:space="preserve"> — componentes de quiz, navegação, filtro de camadas, persistência local.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Diferencial do executor: experiência clínica direta em UPA/UTI calibra o realismo dos fenótipos e das séries — não substitui revisão por par, calibra o ponto de partida.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4. Escopo MVP honesto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b2733"/>
          <w:sz w:val="22"/>
          <w:szCs w:val="22"/>
        </w:rPr>
        <w:t xml:space="preserve">Dentro do MVP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Core fisiológico compartilhado (extraído do painel/tratado, fonte de verdade única).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Galeria de fenótipos como atlas estático (a tabela do Módulo 2), 8 fenótipos.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Dois módulos socráticos completos e jogáveis: euglicêmica e cloro/pH-que-não-fecha.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Case-player de série temporal (reuso do painel) com 2 séries sintéticas + 1 anonimizada de ensino.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Banco de exercícios de cálculo com gabarito comentado.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Tela Conduta como camada didática (uso pessoal, com a Nota+tripwire embutida na interface).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b2733"/>
          <w:sz w:val="22"/>
          <w:szCs w:val="22"/>
        </w:rPr>
        <w:t xml:space="preserve">Fora do MVP (deliberadamente)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Os 12 módulos completos (V2, expandir a partir do template).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Simulação quantitativa que integra no tempo — RK4 (V3 / Caminho 3 se virar tese).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Qualquer distribuição a terceiros (nunca, por design — cruza o tripwire SaMD).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Integração com prontuário ou input de dado vivo de paciente (nunca, por design).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5. Cronograma com marcos e critérios de saída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8a5a00" w:sz="18"/>
              <w:bottom w:val="single" w:color="cfd9e0" w:sz="2"/>
              <w:right w:val="single" w:color="cfd9e0" w:sz="2"/>
            </w:tcBorders>
            <w:shd w:fill="fbf4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a5a00"/>
                <w:sz w:val="18"/>
                <w:szCs w:val="18"/>
              </w:rPr>
              <w:t xml:space="preserve">MARCO 1 — Core + atlas estático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Saída: o motor fisiológico extraído como módulo único compartilhado; galeria de 8 fenótipos navegável; fonte de verdade fixada.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Critério de saída: as 6 calculadoras batem com o painel de evolução em 3 séries de teste; nenhum número contradiz o tratado.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Critério de kill: se extrair o core do painel exigir reescrever o motor do zero, o MVP vira "tratado + painel já bastam" e CAD 360 é arquivado.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8a5a00" w:sz="18"/>
              <w:bottom w:val="single" w:color="cfd9e0" w:sz="2"/>
              <w:right w:val="single" w:color="cfd9e0" w:sz="2"/>
            </w:tcBorders>
            <w:shd w:fill="fbf4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a5a00"/>
                <w:sz w:val="18"/>
                <w:szCs w:val="18"/>
              </w:rPr>
              <w:t xml:space="preserve">MARCO 2 — Dois módulos socráticos jogáveis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Saída: euglicêmica e cloro completos (escada socrática + exercícios + mini-sim + atividade).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Critério de saída: o autor (ou um par) joga end-to-end sem travar; os exercícios têm gabarito que fecha; a mini-sim move a fisiologia corretamente.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Critério de kill: se cada módulo novo exigir refatorar a arquitetura, o template está errado — repensar antes de seguir.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8a5a00" w:sz="18"/>
              <w:bottom w:val="single" w:color="cfd9e0" w:sz="2"/>
              <w:right w:val="single" w:color="cfd9e0" w:sz="2"/>
            </w:tcBorders>
            <w:shd w:fill="fbf4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a5a00"/>
                <w:sz w:val="18"/>
                <w:szCs w:val="18"/>
              </w:rPr>
              <w:t xml:space="preserve">MARCO 3 — Case-player + banco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Saída: série temporal jogável (reuso do painel) parametrizada por fenótipo; banco de cálculo com gabarito.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Critério de saída: trocar a série de entrada não quebra o player; exercícios novos entram em &lt; 1 dia cada.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Critério de kill: se adicionar fenótipo exige tocar no core a cada vez, a abstração falhou.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Datas calendário só depois dos marcos — e calibradas pela banda real (ver §8).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6. Estratégia de dados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Não depende de dados clínicos reais para funcionar. Casos são </w:t>
      </w:r>
      <w:r>
        <w:rPr>
          <w:rFonts w:ascii="Arial" w:cs="Arial" w:eastAsia="Arial" w:hAnsi="Arial"/>
          <w:b/>
          <w:bCs/>
        </w:rPr>
        <w:t xml:space="preserve">sintéticos ou baseados em literatura pública</w:t>
      </w:r>
      <w:r>
        <w:rPr>
          <w:rFonts w:ascii="Arial" w:cs="Arial" w:eastAsia="Arial" w:hAnsi="Arial"/>
        </w:rPr>
        <w:t xml:space="preserve">; séries de ensino são preferencialmente sintéticas. Onde uma série real for usada (ex.: a série de 6 pontos já de-identificada do painel), a regra é: de-identificação verificada (sem nome, sem MRN, sem datas que reidentifiquem), uso restrito a ensino do próprio autor, e custódia local offline. Isso mantém o projeto fora de LGPD-como-controlador-de-dados e fora do firewall SaMD. Plano B se quiser zerar risco: gerar todas as séries sinteticamente a partir do motor.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7. Equipe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shd w:fill="dce8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Função</w:t>
            </w:r>
          </w:p>
        </w:tc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shd w:fill="dce8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Quem</w:t>
            </w:r>
          </w:p>
        </w:tc>
        <w:tc>
          <w:tcPr>
            <w:tcW w:type="dxa" w:w="43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shd w:fill="dce8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Risco se vago</w:t>
            </w:r>
          </w:p>
        </w:tc>
      </w:tr>
      <w:tr>
        <w:tc>
          <w:tcPr>
            <w:tcW w:type="dxa" w:w="26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Líder técnico/clínico</w:t>
            </w:r>
          </w:p>
        </w:tc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Matheus</w:t>
            </w:r>
          </w:p>
        </w:tc>
        <w:tc>
          <w:tcPr>
            <w:tcW w:type="dxa" w:w="43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Implementação</w:t>
            </w:r>
          </w:p>
        </w:tc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Matheus</w:t>
            </w:r>
          </w:p>
        </w:tc>
        <w:tc>
          <w:tcPr>
            <w:tcW w:type="dxa" w:w="43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Acúmulo: a mesma pessoa que projeta valida — viés de criação</w:t>
            </w:r>
          </w:p>
        </w:tc>
      </w:tr>
      <w:tr>
        <w:tc>
          <w:tcPr>
            <w:tcW w:type="dxa" w:w="26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clínica</w:t>
            </w:r>
          </w:p>
        </w:tc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Vago</w:t>
            </w:r>
          </w:p>
        </w:tc>
        <w:tc>
          <w:tcPr>
            <w:tcW w:type="dxa" w:w="43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Erros didáticos não percebidos. Mitigação: 1 colega revisa os 2 módulos antes do Marco 3; sem isso, não passa</w:t>
            </w:r>
          </w:p>
        </w:tc>
      </w:tr>
      <w:tr>
        <w:tc>
          <w:tcPr>
            <w:tcW w:type="dxa" w:w="26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instrucional</w:t>
            </w:r>
          </w:p>
        </w:tc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Vago (Matheus acumula)</w:t>
            </w:r>
          </w:p>
        </w:tc>
        <w:tc>
          <w:tcPr>
            <w:tcW w:type="dxa" w:w="43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Módulos podem virar "PDF bonito". Mitigação: o template socrático força a estrutura</w:t>
            </w:r>
          </w:p>
        </w:tc>
      </w:tr>
      <w:tr>
        <w:tc>
          <w:tcPr>
            <w:tcW w:type="dxa" w:w="26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Sustentação pós-MVP</w:t>
            </w:r>
          </w:p>
        </w:tc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Matheus</w:t>
            </w:r>
          </w:p>
        </w:tc>
        <w:tc>
          <w:tcPr>
            <w:tcW w:type="dxa" w:w="43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Projeto zumbi se a manutenção competir com carga assistencial — ver critério de kill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8. Sustentação e financiamento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Custo direto ≈ zero (offline, single-file, GitHub Pages). O custo é de oportunidade: </w:t>
      </w:r>
      <w:r>
        <w:rPr>
          <w:rFonts w:ascii="Arial" w:cs="Arial" w:eastAsia="Arial" w:hAnsi="Arial"/>
          <w:b/>
          <w:bCs/>
        </w:rPr>
        <w:t xml:space="preserve">banda do executor</w:t>
      </w:r>
      <w:r>
        <w:rPr>
          <w:rFonts w:ascii="Arial" w:cs="Arial" w:eastAsia="Arial" w:hAnsi="Arial"/>
        </w:rPr>
        <w:t xml:space="preserve">. Realidade declarada: cuidador principal do pai (pós-cistectomia, durvalumab), carga de UPA/UTI, frente jurídica ativa. Horas/semana realistas para CAD 360: baixas e intermitentes. Implicação honesta: o cronograma é por marco, não por calendário, e o projeto tem que sobreviver a semanas de banda zero sem morrer — o que o desenho single-file offline permite. Se exigir sprint contínuo, está mal dimensionado.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9. Riscos específicos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500"/>
        <w:gridCol w:w="4760"/>
      </w:tblGrid>
      <w:tr>
        <w:trPr>
          <w:tblHeader/>
        </w:trPr>
        <w:tc>
          <w:tcPr>
            <w:tcW w:type="dxa" w:w="31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shd w:fill="dce8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Risco</w:t>
            </w:r>
          </w:p>
        </w:tc>
        <w:tc>
          <w:tcPr>
            <w:tcW w:type="dxa" w:w="15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shd w:fill="dce8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P / Impacto</w:t>
            </w:r>
          </w:p>
        </w:tc>
        <w:tc>
          <w:tcPr>
            <w:tcW w:type="dxa" w:w="47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shd w:fill="dce8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31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Inconsistência de limiares entre módulos e com o tratado (K, Δ/Δ)</w:t>
            </w:r>
          </w:p>
        </w:tc>
        <w:tc>
          <w:tcPr>
            <w:tcW w:type="dxa" w:w="15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/ Alto</w:t>
            </w:r>
          </w:p>
        </w:tc>
        <w:tc>
          <w:tcPr>
            <w:tcW w:type="dxa" w:w="47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Fonte de verdade única versionada no core; teste que compara saídas com o tratado</w:t>
            </w:r>
          </w:p>
        </w:tc>
      </w:tr>
      <w:tr>
        <w:tc>
          <w:tcPr>
            <w:tcW w:type="dxa" w:w="31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Escopo creep: voltar a querer os 12 módulos de uma vez</w:t>
            </w:r>
          </w:p>
        </w:tc>
        <w:tc>
          <w:tcPr>
            <w:tcW w:type="dxa" w:w="15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/ Médio</w:t>
            </w:r>
          </w:p>
        </w:tc>
        <w:tc>
          <w:tcPr>
            <w:tcW w:type="dxa" w:w="47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"fora do MVP" como contrato; só expande via template após Marco 2</w:t>
            </w:r>
          </w:p>
        </w:tc>
      </w:tr>
      <w:tr>
        <w:tc>
          <w:tcPr>
            <w:tcW w:type="dxa" w:w="31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Viés de criação: autor não enxerga erro didático próprio</w:t>
            </w:r>
          </w:p>
        </w:tc>
        <w:tc>
          <w:tcPr>
            <w:tcW w:type="dxa" w:w="15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 / Alto</w:t>
            </w:r>
          </w:p>
        </w:tc>
        <w:tc>
          <w:tcPr>
            <w:tcW w:type="dxa" w:w="47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Revisão por 1 par antes do Marco 3 (gate explícito)</w:t>
            </w:r>
          </w:p>
        </w:tc>
      </w:tr>
      <w:tr>
        <w:tc>
          <w:tcPr>
            <w:tcW w:type="dxa" w:w="31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Tela Conduta deslizar para uso em paciente real de terceiro</w:t>
            </w:r>
          </w:p>
        </w:tc>
        <w:tc>
          <w:tcPr>
            <w:tcW w:type="dxa" w:w="15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 / Crítico</w:t>
            </w:r>
          </w:p>
        </w:tc>
        <w:tc>
          <w:tcPr>
            <w:tcW w:type="dxa" w:w="47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Tripwire na interface + Nota de uso pessoal visível; sem input de dado vivo por design</w:t>
            </w:r>
          </w:p>
        </w:tc>
      </w:tr>
      <w:tr>
        <w:tc>
          <w:tcPr>
            <w:tcW w:type="dxa" w:w="31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Projeto zumbi por banda intermitente</w:t>
            </w:r>
          </w:p>
        </w:tc>
        <w:tc>
          <w:tcPr>
            <w:tcW w:type="dxa" w:w="15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 / Médio</w:t>
            </w:r>
          </w:p>
        </w:tc>
        <w:tc>
          <w:tcPr>
            <w:tcW w:type="dxa" w:w="47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Critério de kill temporal (ver §11); desenho que tolera pausas longas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10. Métricas de validação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b2733"/>
          <w:sz w:val="22"/>
          <w:szCs w:val="22"/>
        </w:rPr>
        <w:t xml:space="preserve">Técnicas (verificáveis no MVP)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As 6 calculadoras batem com o painel de evolução em 3 séries de teste (erro 0).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Nenhuma saída contradiz a fonte de verdade do tratado.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Módulos rodam offline, sem dependência externa, em 3 sessões consecutivas.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b2733"/>
          <w:sz w:val="22"/>
          <w:szCs w:val="22"/>
        </w:rPr>
        <w:t xml:space="preserve">De desfecho de aprendizagem (o que faltava)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Reconhecimento de fenótipo</w:t>
      </w:r>
      <w:r>
        <w:rPr>
          <w:rFonts w:ascii="Arial" w:cs="Arial" w:eastAsia="Arial" w:hAnsi="Arial"/>
        </w:rPr>
        <w:t xml:space="preserve">: pré/pós-teste com N casos cegos — % de classificação correta sobe (alvo definido contra o baseline do próprio autor, não número redondo).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Leitura de tendência</w:t>
      </w:r>
      <w:r>
        <w:rPr>
          <w:rFonts w:ascii="Arial" w:cs="Arial" w:eastAsia="Arial" w:hAnsi="Arial"/>
        </w:rPr>
        <w:t xml:space="preserve">: dado um filme de série, identificar o ponto onde "a doença trocou de mãos" (cetose → cloro) — acerto e tempo.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Decisão calibrada</w:t>
      </w:r>
      <w:r>
        <w:rPr>
          <w:rFonts w:ascii="Arial" w:cs="Arial" w:eastAsia="Arial" w:hAnsi="Arial"/>
        </w:rPr>
        <w:t xml:space="preserve">: em casos de euglicêmica, taxa de "deixaria sem insulina por causa do destro" cai para zero pós-módulo.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11. Critério de kill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8a2b22" w:sz="18"/>
              <w:bottom w:val="single" w:color="cfd9e0" w:sz="2"/>
              <w:right w:val="single" w:color="cfd9e0" w:sz="2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</w:rPr>
              <w:t xml:space="preserve">CAD 360 é abandonado (e dobra de volta como capítulo interativo do tratado) se qualquer um: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2"/>
            </w:pPr>
            <w:r>
              <w:rPr>
                <w:rFonts w:ascii="Arial" w:cs="Arial" w:eastAsia="Arial" w:hAnsi="Arial"/>
              </w:rPr>
              <w:t xml:space="preserve">Ao final do Marco 2, o módulo socrático não ensina melhor que o tratado num teste pequeno com um par.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2"/>
            </w:pPr>
            <w:r>
              <w:rPr>
                <w:rFonts w:ascii="Arial" w:cs="Arial" w:eastAsia="Arial" w:hAnsi="Arial"/>
              </w:rPr>
              <w:t xml:space="preserve">Extrair o core do painel exige reescrever o motor do zero (Marco 1 falha).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2"/>
            </w:pPr>
            <w:r>
              <w:rPr>
                <w:rFonts w:ascii="Arial" w:cs="Arial" w:eastAsia="Arial" w:hAnsi="Arial"/>
              </w:rPr>
              <w:t xml:space="preserve">Seis meses de banda intermitente sem chegar ao Marco 2 — o projeto não cabe na vida real do executor agora.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12. Próximos passos concretos (próximas 2 semanas)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</w:rPr>
        <w:t xml:space="preserve">Extrair o motor fisiológico do painel de evolução para um arquivo único core.js (6 funções), com um teste que roda as 3 séries e compara com o tratado.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</w:rPr>
        <w:t xml:space="preserve">Fixar a doutrina de fonte de verdade (Apêndice A) como comentário-cabeçalho do core.js — K&lt;5,0, bicarbonato pH&lt;7,0, fosfato &lt;1,0 mmol/L sintomático, Δ/Δ em 1 e 2, Na 1,6/2,4.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</w:rPr>
        <w:t xml:space="preserve">Escrever o Módulo "euglicêmica" inteiro (Parte III já traz o conteúdo) como HTML jogável, reusando o componente de quiz do CVC Academy.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</w:rPr>
        <w:t xml:space="preserve">Converter a série de 6 pontos já de-identificada no primeiro caso do case-player.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Arial" w:cs="Arial" w:eastAsia="Arial" w:hAnsi="Arial"/>
        </w:rPr>
        <w:t xml:space="preserve">Agendar 30 min com 1 colega para revisar os dois módulos antes do Marco 3.</w:t>
      </w:r>
    </w:p>
    <w:p>
      <w:pPr>
        <w:pStyle w:val="Heading1"/>
        <w:pageBreakBefore/>
        <w:spacing w:after="160" w:before="300"/>
      </w:pPr>
      <w:r>
        <w:rPr>
          <w:rFonts w:ascii="Arial" w:cs="Arial" w:eastAsia="Arial" w:hAnsi="Arial"/>
          <w:b/>
          <w:bCs/>
          <w:color w:val="1b2733"/>
          <w:sz w:val="30"/>
          <w:szCs w:val="30"/>
        </w:rPr>
        <w:t xml:space="preserve">Parte III — Núcleo pedagógico</w:t>
      </w:r>
    </w:p>
    <w:p>
      <w:pPr>
        <w:spacing w:after="160" w:line="288"/>
      </w:pPr>
      <w:r>
        <w:rPr>
          <w:rFonts w:ascii="Arial" w:cs="Arial" w:eastAsia="Arial" w:hAnsi="Arial"/>
        </w:rPr>
        <w:t xml:space="preserve">A profundidade prática pedida: o padrão de módulo, dois módulos inteiros trabalhados (escada socrática + fisiologia + equação + armadilha + pérola + mini-simulação + exercícios com gabarito + atividade por projeto), um banco de cálculo com gabarito, e o desenho da didática aplicada a projeto. Tudo sob a fonte de verdade do consenso 2024.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Padrão de módulo (template dos 10 tempos)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Cada módulo de CAD 360 segue a mesma sequência. O template é o contrato que impede o módulo de virar PDF bonito: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rFonts w:ascii="Arial" w:cs="Arial" w:eastAsia="Arial" w:hAnsi="Arial"/>
        </w:rPr>
        <w:t xml:space="preserve">Caso de abertura — mini-história realista, sintética.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rFonts w:ascii="Arial" w:cs="Arial" w:eastAsia="Arial" w:hAnsi="Arial"/>
        </w:rPr>
        <w:t xml:space="preserve">Pergunta socrática inicial — "o que você trataria primeiro e por quê?"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rFonts w:ascii="Arial" w:cs="Arial" w:eastAsia="Arial" w:hAnsi="Arial"/>
        </w:rPr>
        <w:t xml:space="preserve">Escada socrática — perguntas que sobem em dificuldade, cada uma destravando a próxima.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rFonts w:ascii="Arial" w:cs="Arial" w:eastAsia="Arial" w:hAnsi="Arial"/>
        </w:rPr>
        <w:t xml:space="preserve">Painel fisiológico — gráfico/mini-sim interativo (reuso do painel).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rFonts w:ascii="Arial" w:cs="Arial" w:eastAsia="Arial" w:hAnsi="Arial"/>
        </w:rPr>
        <w:t xml:space="preserve">Equação central — uma fórmula por vez, com interpretação.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rFonts w:ascii="Arial" w:cs="Arial" w:eastAsia="Arial" w:hAnsi="Arial"/>
        </w:rPr>
        <w:t xml:space="preserve">Armadilha — o erro comum, nomeado.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rFonts w:ascii="Arial" w:cs="Arial" w:eastAsia="Arial" w:hAnsi="Arial"/>
        </w:rPr>
        <w:t xml:space="preserve">Pérola — a heurística que fica.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rFonts w:ascii="Arial" w:cs="Arial" w:eastAsia="Arial" w:hAnsi="Arial"/>
        </w:rPr>
        <w:t xml:space="preserve">Mini-simulação — mexer uma variável e ver o sistema responder.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rFonts w:ascii="Arial" w:cs="Arial" w:eastAsia="Arial" w:hAnsi="Arial"/>
        </w:rPr>
        <w:t xml:space="preserve">Exercícios de cálculo — com gabarito comentado, não resposta rasa.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rFonts w:ascii="Arial" w:cs="Arial" w:eastAsia="Arial" w:hAnsi="Arial"/>
        </w:rPr>
        <w:t xml:space="preserve">Atividade por projeto — o aluno produz um artefato (cartão de fenótipo, leitura de série, handoff de uma linha).</w:t>
      </w:r>
    </w:p>
    <w:p>
      <w:pPr>
        <w:pStyle w:val="Heading2"/>
        <w:pageBreakBefore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Módulo trabalhado A — CAD euglicêmica (o destro que mente)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0e6e7d" w:sz="18"/>
              <w:bottom w:val="single" w:color="cfd9e0" w:sz="2"/>
              <w:right w:val="single" w:color="cfd9e0" w:sz="2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6e7d"/>
                <w:sz w:val="18"/>
                <w:szCs w:val="18"/>
              </w:rPr>
              <w:t xml:space="preserve">CASO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Mulher, 62 anos, DM2 em empagliflozina + metformina. Há 3 dias com infecção urinária e baixa ingesta. Chega prostrada, respiração um pouco profunda. </w:t>
            </w:r>
            <w:r>
              <w:rPr>
                <w:rFonts w:ascii="Arial" w:cs="Arial" w:eastAsia="Arial" w:hAnsi="Arial"/>
                <w:b/>
                <w:bCs/>
              </w:rPr>
              <w:t xml:space="preserve">Destro capilar: 164 mg/dL.</w:t>
            </w:r>
            <w:r>
              <w:rPr>
                <w:rFonts w:ascii="Arial" w:cs="Arial" w:eastAsia="Arial" w:hAnsi="Arial"/>
              </w:rPr>
              <w:t xml:space="preserve"> A enfermeira comenta: "a glicose tá boa".</w:t>
            </w:r>
          </w:p>
        </w:tc>
      </w:tr>
    </w:tbl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b2733"/>
          <w:sz w:val="22"/>
          <w:szCs w:val="22"/>
        </w:rPr>
        <w:t xml:space="preserve">Escada socrática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e6e7d"/>
        </w:rPr>
        <w:t xml:space="preserve">Q1.</w:t>
      </w:r>
      <w:r>
        <w:rPr>
          <w:rFonts w:ascii="Arial" w:cs="Arial" w:eastAsia="Arial" w:hAnsi="Arial"/>
        </w:rPr>
        <w:t xml:space="preserve"> Destro 164. Você descartou CAD? — </w:t>
      </w:r>
      <w:r>
        <w:rPr>
          <w:rFonts w:ascii="Arial" w:cs="Arial" w:eastAsia="Arial" w:hAnsi="Arial"/>
          <w:i/>
          <w:iCs/>
        </w:rPr>
        <w:t xml:space="preserve">Não. O destro diz a glicemia daquele instante. Não diz cetose, acidose, potássio corporal, tendência, nem se pode iniciar insulina.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e6e7d"/>
        </w:rPr>
        <w:t xml:space="preserve">Q2.</w:t>
      </w:r>
      <w:r>
        <w:rPr>
          <w:rFonts w:ascii="Arial" w:cs="Arial" w:eastAsia="Arial" w:hAnsi="Arial"/>
        </w:rPr>
        <w:t xml:space="preserve"> Que exame abre ou fecha o diagnóstico? — </w:t>
      </w:r>
      <w:r>
        <w:rPr>
          <w:rFonts w:ascii="Arial" w:cs="Arial" w:eastAsia="Arial" w:hAnsi="Arial"/>
          <w:i/>
          <w:iCs/>
        </w:rPr>
        <w:t xml:space="preserve">β-hidroxibutirato + gasometria. A cetose é a doença; a glicose é barulho.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e6e7d"/>
        </w:rPr>
        <w:t xml:space="preserve">Q3.</w:t>
      </w:r>
      <w:r>
        <w:rPr>
          <w:rFonts w:ascii="Arial" w:cs="Arial" w:eastAsia="Arial" w:hAnsi="Arial"/>
        </w:rPr>
        <w:t xml:space="preserve"> Gaso: pH 7,24 · HCO₃ 10 · βHB 5,8 · Na 137 · Cl 101 · K 4,1 · lactato 1,2. Há CAD? — </w:t>
      </w:r>
      <w:r>
        <w:rPr>
          <w:rFonts w:ascii="Arial" w:cs="Arial" w:eastAsia="Arial" w:hAnsi="Arial"/>
          <w:i/>
          <w:iCs/>
        </w:rPr>
        <w:t xml:space="preserve">Sim. βHB ≥ 3 + pH &lt; 7,3 + DM = CAD. Glicose modesta (164) = fenótipo euglicêmico.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e6e7d"/>
        </w:rPr>
        <w:t xml:space="preserve">Q4.</w:t>
      </w:r>
      <w:r>
        <w:rPr>
          <w:rFonts w:ascii="Arial" w:cs="Arial" w:eastAsia="Arial" w:hAnsi="Arial"/>
        </w:rPr>
        <w:t xml:space="preserve"> Por que a glicose está "normal" com cetogênese desenfreada? — </w:t>
      </w:r>
      <w:r>
        <w:rPr>
          <w:rFonts w:ascii="Arial" w:cs="Arial" w:eastAsia="Arial" w:hAnsi="Arial"/>
          <w:i/>
          <w:iCs/>
        </w:rPr>
        <w:t xml:space="preserve">SGLT2 → glicosúria contínua escoa glicose pelo rim; somado à baixa ingesta, a glicemia fica modesta enquanto a lipólise/cetogênese roda solta. A glicose baixa esconde a doença.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e6e7d"/>
        </w:rPr>
        <w:t xml:space="preserve">Q5.</w:t>
      </w:r>
      <w:r>
        <w:rPr>
          <w:rFonts w:ascii="Arial" w:cs="Arial" w:eastAsia="Arial" w:hAnsi="Arial"/>
        </w:rPr>
        <w:t xml:space="preserve"> Posso deixar sem insulina porque a glicose é 164? — </w:t>
      </w:r>
      <w:r>
        <w:rPr>
          <w:rFonts w:ascii="Arial" w:cs="Arial" w:eastAsia="Arial" w:hAnsi="Arial"/>
          <w:i/>
          <w:iCs/>
        </w:rPr>
        <w:t xml:space="preserve">Não. A doença é cetogênese; sem insulina ela não fecha. Glicose normal não significa "não dar insulina" — significa "dar insulina com glicose".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e6e7d"/>
        </w:rPr>
        <w:t xml:space="preserve">Q6.</w:t>
      </w:r>
      <w:r>
        <w:rPr>
          <w:rFonts w:ascii="Arial" w:cs="Arial" w:eastAsia="Arial" w:hAnsi="Arial"/>
        </w:rPr>
        <w:t xml:space="preserve"> Como dou insulina sem causar hipoglicemia? — </w:t>
      </w:r>
      <w:r>
        <w:rPr>
          <w:rFonts w:ascii="Arial" w:cs="Arial" w:eastAsia="Arial" w:hAnsi="Arial"/>
          <w:i/>
          <w:iCs/>
        </w:rPr>
        <w:t xml:space="preserve">Dextrose IV junto desde o início. A glicose é o cinto de segurança que permite manter a insulina para fechar a cetogênese.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e6e7d"/>
        </w:rPr>
        <w:t xml:space="preserve">Q7.</w:t>
      </w:r>
      <w:r>
        <w:rPr>
          <w:rFonts w:ascii="Arial" w:cs="Arial" w:eastAsia="Arial" w:hAnsi="Arial"/>
        </w:rPr>
        <w:t xml:space="preserve"> O que mais é obrigatório? — </w:t>
      </w:r>
      <w:r>
        <w:rPr>
          <w:rFonts w:ascii="Arial" w:cs="Arial" w:eastAsia="Arial" w:hAnsi="Arial"/>
          <w:i/>
          <w:iCs/>
        </w:rPr>
        <w:t xml:space="preserve">Suspender o SGLT2. Enquanto ele roda, perpetua a glicosúria e a cetogênese — é o motor do quadro.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b2733"/>
          <w:sz w:val="22"/>
          <w:szCs w:val="22"/>
        </w:rPr>
        <w:t xml:space="preserve">Equação central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 diagnóstico fecha sem a glicose: βHB ≥ 3,0 mmol/L + pH &lt; 7,30 e/ou HCO₃ &lt; 18. Confirme que não é HHS pela osmolaridade efetiva: </w:t>
      </w:r>
      <w:r>
        <w:rPr>
          <w:rFonts w:ascii="Consolas" w:cs="Consolas" w:eastAsia="Consolas" w:hAnsi="Consolas"/>
          <w:sz w:val="18"/>
          <w:szCs w:val="18"/>
        </w:rPr>
        <w:t xml:space="preserve">Osm = 2·Na + glicose/18</w:t>
      </w:r>
      <w:r>
        <w:rPr>
          <w:rFonts w:ascii="Arial" w:cs="Arial" w:eastAsia="Arial" w:hAnsi="Arial"/>
        </w:rPr>
        <w:t xml:space="preserve"> = 2·137 + 164/18 = 274 + 9,1 = 283 → normal. É CAD, não HHS.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8a2b22" w:sz="18"/>
              <w:bottom w:val="single" w:color="cfd9e0" w:sz="2"/>
              <w:right w:val="single" w:color="cfd9e0" w:sz="2"/>
            </w:tcBorders>
            <w:shd w:fill="f7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a2b22"/>
                <w:sz w:val="18"/>
                <w:szCs w:val="18"/>
              </w:rPr>
              <w:t xml:space="preserve">ARMADILHA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Confiar no destro e rotular "não é CAD, a glicose está boa". Na euglicêmica, esse é o erro que mata o diagnóstico — e o SGLT2 é o gatilho mais comum (e até ~30% das CAD na gestação são euglicêmicas).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1d6b45" w:sz="18"/>
              <w:bottom w:val="single" w:color="cfd9e0" w:sz="2"/>
              <w:right w:val="single" w:color="cfd9e0" w:sz="2"/>
            </w:tcBorders>
            <w:shd w:fill="eaf3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b45"/>
                <w:sz w:val="18"/>
                <w:szCs w:val="18"/>
              </w:rPr>
              <w:t xml:space="preserve">PÉROLA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Na euglicêmica, o destro é o mentiroso da sala; a cetona é a testemunha. A glicose é barulhenta, a cetona é a doença.</w:t>
            </w:r>
          </w:p>
        </w:tc>
      </w:tr>
    </w:tbl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b2733"/>
          <w:sz w:val="22"/>
          <w:szCs w:val="22"/>
        </w:rPr>
        <w:t xml:space="preserve">Mini-simulação (especificação)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Botões: </w:t>
      </w:r>
      <w:r>
        <w:rPr>
          <w:rFonts w:ascii="Consolas" w:cs="Consolas" w:eastAsia="Consolas" w:hAnsi="Consolas"/>
          <w:sz w:val="18"/>
          <w:szCs w:val="18"/>
        </w:rPr>
        <w:t xml:space="preserve">[manter SGLT2 / suspender]</w:t>
      </w:r>
      <w:r>
        <w:rPr>
          <w:rFonts w:ascii="Arial" w:cs="Arial" w:eastAsia="Arial" w:hAnsi="Arial"/>
        </w:rPr>
        <w:t xml:space="preserve"> e </w:t>
      </w:r>
      <w:r>
        <w:rPr>
          <w:rFonts w:ascii="Consolas" w:cs="Consolas" w:eastAsia="Consolas" w:hAnsi="Consolas"/>
          <w:sz w:val="18"/>
          <w:szCs w:val="18"/>
        </w:rPr>
        <w:t xml:space="preserve">[só volume / insulina + dextrose]</w:t>
      </w:r>
      <w:r>
        <w:rPr>
          <w:rFonts w:ascii="Arial" w:cs="Arial" w:eastAsia="Arial" w:hAnsi="Arial"/>
        </w:rPr>
        <w:t xml:space="preserve">. O aluno vê βHB e o gap corrigido. Só caem quando a insulina liga; com "só volume", diluem mas não fecham — e o cloro começa a subir. Com SGLT2 mantido, o βHB resiste.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b2733"/>
          <w:sz w:val="22"/>
          <w:szCs w:val="22"/>
        </w:rPr>
        <w:t xml:space="preserve">Exercício com gabarito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0e6e7d" w:sz="18"/>
              <w:bottom w:val="single" w:color="cfd9e0" w:sz="2"/>
              <w:right w:val="single" w:color="cfd9e0" w:sz="2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EXERCÍCIO A1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Diabética, glicose 138 mg/dL, pH 7,22, HCO₃ 9, Na 136, Cl 101, βHB 5,8, K 4,1, lactato 1,2; usa dapagliflozina.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Há CAD?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 euglicêmica?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Posso deixar sem insulina porque a glicose é 138?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 o fluido inicial?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Quando entra a glicose?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 o risco de tratar só com volume?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1d6b45" w:sz="18"/>
              <w:bottom w:val="single" w:color="cfd9e0" w:sz="2"/>
              <w:right w:val="single" w:color="cfd9e0" w:sz="2"/>
            </w:tcBorders>
            <w:shd w:fill="eaf3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b45"/>
                <w:sz w:val="18"/>
                <w:szCs w:val="18"/>
              </w:rPr>
              <w:t xml:space="preserve">GABARITO COMENTADO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Cálculo: AG = 136 − (101 + 9) = 26. AGc (alb 4,0) = 26. Δ/Δ = (26 − 12)/(24 − 9) = 14/15 = 0,93 → AGMA quase pura. Winter: 1,5·9 + 8 = 21,5 ± 2.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(a) Sim — βHB 5,8 + pH 7,22 fecham CAD. (b) Sim — glicose 138 = euglicêmica. (c) Não — trata-se a cetogênese, não a glicose. (d) Cristaloide balanceado (Ringer) por volume — evita alimentar a futura cauda hiperclorêmica. (e) Dextrose IV desde já: a glicose já é 138 e vai cair com a insulina; é o cinto de segurança. Insulina 0,1 U/kg/h porque K 4,1 ≥ 3,5. (f) Só volume dilui mas não desliga a cetogênese — o gap não fecha, e o SF em volume ainda fabrica acidose hiperclorêmica que mascara a evolução. E sem suspender a dapagliflozina, o motor continua ligado.</w:t>
            </w:r>
          </w:p>
        </w:tc>
      </w:tr>
    </w:tbl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b2733"/>
          <w:sz w:val="22"/>
          <w:szCs w:val="22"/>
        </w:rPr>
        <w:t xml:space="preserve">Atividade por projeto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Produza um </w:t>
      </w:r>
      <w:r>
        <w:rPr>
          <w:rFonts w:ascii="Arial" w:cs="Arial" w:eastAsia="Arial" w:hAnsi="Arial"/>
          <w:b/>
          <w:bCs/>
        </w:rPr>
        <w:t xml:space="preserve">cartão de fenótipo "euglicêmica"</w:t>
      </w:r>
      <w:r>
        <w:rPr>
          <w:rFonts w:ascii="Arial" w:cs="Arial" w:eastAsia="Arial" w:hAnsi="Arial"/>
        </w:rPr>
        <w:t xml:space="preserve"> para o atlas: preencha a linha da tabela (glicose / cetona / pH-HCO₃ / gap / risco principal) e escreva a frase-armadilha de uma linha que um plantonista precisa ler. Critério de aceite: a frase tem que impedir o erro do destro sem citar protocolo.</w:t>
      </w:r>
    </w:p>
    <w:p>
      <w:pPr>
        <w:pStyle w:val="Heading2"/>
        <w:pageBreakBefore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Módulo trabalhado B — O cloro e o "pH que não fecha"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0e6e7d" w:sz="18"/>
              <w:bottom w:val="single" w:color="cfd9e0" w:sz="2"/>
              <w:right w:val="single" w:color="cfd9e0" w:sz="2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6e7d"/>
                <w:sz w:val="18"/>
                <w:szCs w:val="18"/>
              </w:rPr>
              <w:t xml:space="preserve">CASO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48 h de CAD em tratamento. O gap corrigido caiu de 21 para 16 — a cetose está saindo. Mas o pH segue 7,29 e o HCO₃ preso em ~12. O plantonista que assume pergunta: "por que não melhora? aumento a insulina?"</w:t>
            </w:r>
          </w:p>
        </w:tc>
      </w:tr>
    </w:tbl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b2733"/>
          <w:sz w:val="22"/>
          <w:szCs w:val="22"/>
        </w:rPr>
        <w:t xml:space="preserve">Escada socrática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e6e7d"/>
        </w:rPr>
        <w:t xml:space="preserve">Q1.</w:t>
      </w:r>
      <w:r>
        <w:rPr>
          <w:rFonts w:ascii="Arial" w:cs="Arial" w:eastAsia="Arial" w:hAnsi="Arial"/>
        </w:rPr>
        <w:t xml:space="preserve"> O gap corrigido caiu. A cetose está resolvendo? — </w:t>
      </w:r>
      <w:r>
        <w:rPr>
          <w:rFonts w:ascii="Arial" w:cs="Arial" w:eastAsia="Arial" w:hAnsi="Arial"/>
          <w:i/>
          <w:iCs/>
        </w:rPr>
        <w:t xml:space="preserve">Sim. Gap caindo = cetona saindo do sangue.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e6e7d"/>
        </w:rPr>
        <w:t xml:space="preserve">Q2.</w:t>
      </w:r>
      <w:r>
        <w:rPr>
          <w:rFonts w:ascii="Arial" w:cs="Arial" w:eastAsia="Arial" w:hAnsi="Arial"/>
        </w:rPr>
        <w:t xml:space="preserve"> Se a cetose sai, por que o HCO₃ não sobe e o pH não fecha? — </w:t>
      </w:r>
      <w:r>
        <w:rPr>
          <w:rFonts w:ascii="Arial" w:cs="Arial" w:eastAsia="Arial" w:hAnsi="Arial"/>
          <w:i/>
          <w:iCs/>
        </w:rPr>
        <w:t xml:space="preserve">Porque a acidose trocou de natureza: virou hiperclorêmica de gap normal. A cadeira que era da cetona agora é do cloro.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e6e7d"/>
        </w:rPr>
        <w:t xml:space="preserve">Q3.</w:t>
      </w:r>
      <w:r>
        <w:rPr>
          <w:rFonts w:ascii="Arial" w:cs="Arial" w:eastAsia="Arial" w:hAnsi="Arial"/>
        </w:rPr>
        <w:t xml:space="preserve"> De onde veio o cloro? — </w:t>
      </w:r>
      <w:r>
        <w:rPr>
          <w:rFonts w:ascii="Arial" w:cs="Arial" w:eastAsia="Arial" w:hAnsi="Arial"/>
          <w:i/>
          <w:iCs/>
        </w:rPr>
        <w:t xml:space="preserve">Do SF 0,9% em grande volume — Cl 154 mmol/L, muito acima do plasma. A ressuscitação fabricou a acidose tardia.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e6e7d"/>
        </w:rPr>
        <w:t xml:space="preserve">Q4.</w:t>
      </w:r>
      <w:r>
        <w:rPr>
          <w:rFonts w:ascii="Arial" w:cs="Arial" w:eastAsia="Arial" w:hAnsi="Arial"/>
        </w:rPr>
        <w:t xml:space="preserve"> Como provo isso no número? — </w:t>
      </w:r>
      <w:r>
        <w:rPr>
          <w:rFonts w:ascii="Arial" w:cs="Arial" w:eastAsia="Arial" w:hAnsi="Arial"/>
          <w:i/>
          <w:iCs/>
        </w:rPr>
        <w:t xml:space="preserve">O par diagnóstico: Δ/Δ caindo (de 0,88 para 0,40 = metade da acidemia agora é gap normal) enquanto o Cl sobe (99 → 106). Os dois juntos = cauda hiperclorêmica.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e6e7d"/>
        </w:rPr>
        <w:t xml:space="preserve">Q5.</w:t>
      </w:r>
      <w:r>
        <w:rPr>
          <w:rFonts w:ascii="Arial" w:cs="Arial" w:eastAsia="Arial" w:hAnsi="Arial"/>
        </w:rPr>
        <w:t xml:space="preserve"> Insulina conserta esse pH? — </w:t>
      </w:r>
      <w:r>
        <w:rPr>
          <w:rFonts w:ascii="Arial" w:cs="Arial" w:eastAsia="Arial" w:hAnsi="Arial"/>
          <w:i/>
          <w:iCs/>
        </w:rPr>
        <w:t xml:space="preserve">Não. Insulina fecha cetogênese; não excreta cloro. Quem resolve o cloro é o rim, com tempo. Empilhar insulina aqui só reabre o dente-de-serra (hipoglicemia, hipocalemia).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e6e7d"/>
        </w:rPr>
        <w:t xml:space="preserve">Q6.</w:t>
      </w:r>
      <w:r>
        <w:rPr>
          <w:rFonts w:ascii="Arial" w:cs="Arial" w:eastAsia="Arial" w:hAnsi="Arial"/>
        </w:rPr>
        <w:t xml:space="preserve"> Então o que fazer? — </w:t>
      </w:r>
      <w:r>
        <w:rPr>
          <w:rFonts w:ascii="Arial" w:cs="Arial" w:eastAsia="Arial" w:hAnsi="Arial"/>
          <w:i/>
          <w:iCs/>
        </w:rPr>
        <w:t xml:space="preserve">Parar de alimentar cloro (trocar SF por balanceado), dar tempo ao rim, e NÃO interpretar o HCO₃ baixo tardio como cetose persistente.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b2733"/>
          <w:sz w:val="22"/>
          <w:szCs w:val="22"/>
        </w:rPr>
        <w:t xml:space="preserve">Equação central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</w:rPr>
        <w:t xml:space="preserve">Δ/Δ = (AGc − 12) / (24 − HCO₃)</w:t>
      </w:r>
      <w:r>
        <w:rPr>
          <w:rFonts w:ascii="Arial" w:cs="Arial" w:eastAsia="Arial" w:hAnsi="Arial"/>
        </w:rPr>
        <w:t xml:space="preserve">. Convenção de CAD 360 (fonte de verdade, consistente com o painel):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shd w:fill="dce8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Δ/Δ</w:t>
            </w:r>
          </w:p>
        </w:tc>
        <w:tc>
          <w:tcPr>
            <w:tcW w:type="dxa" w:w="75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shd w:fill="dce8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Leitura</w:t>
            </w:r>
          </w:p>
        </w:tc>
      </w:tr>
      <w:tr>
        <w:tc>
          <w:tcPr>
            <w:tcW w:type="dxa" w:w="18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</w:t>
            </w:r>
          </w:p>
        </w:tc>
        <w:tc>
          <w:tcPr>
            <w:tcW w:type="dxa" w:w="75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acidose hiperclorêmica / gap normal ganhando peso (cauda do tratamento ou perda de HCO₃)</w:t>
            </w:r>
          </w:p>
        </w:tc>
      </w:tr>
      <w:tr>
        <w:tc>
          <w:tcPr>
            <w:tcW w:type="dxa" w:w="18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– 2</w:t>
            </w:r>
          </w:p>
        </w:tc>
        <w:tc>
          <w:tcPr>
            <w:tcW w:type="dxa" w:w="75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AGMA de gap elevado "mais pura"</w:t>
            </w:r>
          </w:p>
        </w:tc>
      </w:tr>
      <w:tr>
        <w:tc>
          <w:tcPr>
            <w:tcW w:type="dxa" w:w="18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2</w:t>
            </w:r>
          </w:p>
        </w:tc>
        <w:tc>
          <w:tcPr>
            <w:tcW w:type="dxa" w:w="75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alcalose metabólica associada ou HCO₃ previamente alto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8a2b22" w:sz="18"/>
              <w:bottom w:val="single" w:color="cfd9e0" w:sz="2"/>
              <w:right w:val="single" w:color="cfd9e0" w:sz="2"/>
            </w:tcBorders>
            <w:shd w:fill="f7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a2b22"/>
                <w:sz w:val="18"/>
                <w:szCs w:val="18"/>
              </w:rPr>
              <w:t xml:space="preserve">ARMADILHA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Ler o HCO₃ baixo tardio como "ainda em CAD" e responder com mais insulina / manter jejum / repetir bolus. Isso reabre o dente-de-serra iatrogênico e trata um problema (cloro) com a ferramenta errada (insulina).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1d6b45" w:sz="18"/>
              <w:bottom w:val="single" w:color="cfd9e0" w:sz="2"/>
              <w:right w:val="single" w:color="cfd9e0" w:sz="2"/>
            </w:tcBorders>
            <w:shd w:fill="eaf3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b45"/>
                <w:sz w:val="18"/>
                <w:szCs w:val="18"/>
              </w:rPr>
              <w:t xml:space="preserve">PÉROLA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A cetose saiu; o cloro ficou sentado na cadeira dela. pH pode melhorar antes da doença resolver; o HCO₃ pode continuar baixo depois dela ter resolvido.</w:t>
            </w:r>
          </w:p>
        </w:tc>
      </w:tr>
    </w:tbl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b2733"/>
          <w:sz w:val="22"/>
          <w:szCs w:val="22"/>
        </w:rPr>
        <w:t xml:space="preserve">Mini-simulação (especificação)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Escolha do fluido no início: </w:t>
      </w:r>
      <w:r>
        <w:rPr>
          <w:rFonts w:ascii="Consolas" w:cs="Consolas" w:eastAsia="Consolas" w:hAnsi="Consolas"/>
          <w:sz w:val="18"/>
          <w:szCs w:val="18"/>
        </w:rPr>
        <w:t xml:space="preserve">[SF 0,9% / Ringer]</w:t>
      </w:r>
      <w:r>
        <w:rPr>
          <w:rFonts w:ascii="Arial" w:cs="Arial" w:eastAsia="Arial" w:hAnsi="Arial"/>
        </w:rPr>
        <w:t xml:space="preserve">. Rode a série no tempo e veja a cauda hiperclorêmica crescer (SF) ou não (Ringer); observe Δ/Δ e Cl divergirem no SF. Ensina, em um clique, por que balanceado resolve mais rápido.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b2733"/>
          <w:sz w:val="22"/>
          <w:szCs w:val="22"/>
        </w:rPr>
        <w:t xml:space="preserve">Exercício com gabarito (dataset de série real, de-identificada)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0e6e7d" w:sz="18"/>
              <w:bottom w:val="single" w:color="cfd9e0" w:sz="2"/>
              <w:right w:val="single" w:color="cfd9e0" w:sz="2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EXERCÍCIO B1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Ponto tardio de uma série real: Na 135,9 · Cl 105 · HCO₃ 13,6 · glicose 133 · albumina 4,5. Antes (12 h): Cl 99 · HCO₃ 13,4 · gap corrigido 21,3 · Δ/Δ 0,88.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Calcule AG, AGc e Δ/Δ no ponto tardio.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acidose residual é cetose ou cloro?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68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conduta é mais insulina ou outra coisa?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1d6b45" w:sz="18"/>
              <w:bottom w:val="single" w:color="cfd9e0" w:sz="2"/>
              <w:right w:val="single" w:color="cfd9e0" w:sz="2"/>
            </w:tcBorders>
            <w:shd w:fill="eaf3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b45"/>
                <w:sz w:val="18"/>
                <w:szCs w:val="18"/>
              </w:rPr>
              <w:t xml:space="preserve">GABARITO COMENTADO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Cálculo: AG = 135,9 − (105 + 13,6) = 17,3. AGc = 17,3 + 2,5·(4,0 − 4,5) = 16,05 ≈ 16,1. Δ/Δ = (16,1 − 12)/(24 − 13,6) = 4,1/10,4 = 0,39.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(a) AGc 16,1; Δ/Δ 0,39. (b) Comparando com o ponto de 12 h (Δ/Δ 0,88, Cl 99): o Δ/Δ desabou e o Cl subiu 99 → 105. Metade da acidemia agora é cloro, não cetona — cauda hiperclorêmica crescendo. (c) Não é mais insulina. É trocar SF por balanceado e dar tempo ao rim; a cetose já está quase resolvida (gap caiu de 21 para 16). Insulina aqui não toca nesse pH e só arrisca hipoglicemia/hipocalemia.</w:t>
            </w:r>
          </w:p>
        </w:tc>
      </w:tr>
    </w:tbl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b2733"/>
          <w:sz w:val="22"/>
          <w:szCs w:val="22"/>
        </w:rPr>
        <w:t xml:space="preserve">Atividade por projeto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Pegue uma série temporal e produza a </w:t>
      </w:r>
      <w:r>
        <w:rPr>
          <w:rFonts w:ascii="Arial" w:cs="Arial" w:eastAsia="Arial" w:hAnsi="Arial"/>
          <w:b/>
          <w:bCs/>
        </w:rPr>
        <w:t xml:space="preserve">leitura do ponto de virada</w:t>
      </w:r>
      <w:r>
        <w:rPr>
          <w:rFonts w:ascii="Arial" w:cs="Arial" w:eastAsia="Arial" w:hAnsi="Arial"/>
        </w:rPr>
        <w:t xml:space="preserve">: identifique o ponto onde "a doença trocou de mãos" (cetose → cloro) plotando AGc, Cl e HCO₃ juntos, e escreva o </w:t>
      </w:r>
      <w:r>
        <w:rPr>
          <w:rFonts w:ascii="Arial" w:cs="Arial" w:eastAsia="Arial" w:hAnsi="Arial"/>
          <w:b/>
          <w:bCs/>
        </w:rPr>
        <w:t xml:space="preserve">handoff de uma linha</w:t>
      </w:r>
      <w:r>
        <w:rPr>
          <w:rFonts w:ascii="Arial" w:cs="Arial" w:eastAsia="Arial" w:hAnsi="Arial"/>
        </w:rPr>
        <w:t xml:space="preserve"> que impede o próximo plantonista de empilhar insulina. Critério de aceite: a linha nomeia o cloro e desautoriza o reflexo da insulina, sem jargão.</w:t>
      </w:r>
    </w:p>
    <w:p>
      <w:pPr>
        <w:pStyle w:val="Heading2"/>
        <w:pageBreakBefore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Banco de exercícios de cálculo (com gabarito)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Seis itens, cada um ensinando uma lição distinta. Faça antes de ler o gabarito.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0e6e7d" w:sz="18"/>
              <w:bottom w:val="single" w:color="cfd9e0" w:sz="2"/>
              <w:right w:val="single" w:color="cfd9e0" w:sz="2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B-1 · AG simples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 140, Cl 104, HCO₃ 10. Calcule o ânion-gap.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1d6b45" w:sz="18"/>
              <w:bottom w:val="single" w:color="cfd9e0" w:sz="2"/>
              <w:right w:val="single" w:color="cfd9e0" w:sz="2"/>
            </w:tcBorders>
            <w:shd w:fill="eaf3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b45"/>
                <w:sz w:val="18"/>
                <w:szCs w:val="18"/>
              </w:rPr>
              <w:t xml:space="preserve">GABARITO COMENTADO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AG = 140 − (104 + 10) = 26. Lição: gap alto = ácido não medido (cetona/lactato). Ponto de partida, não diagnóstico.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0e6e7d" w:sz="18"/>
              <w:bottom w:val="single" w:color="cfd9e0" w:sz="2"/>
              <w:right w:val="single" w:color="cfd9e0" w:sz="2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B-2 · AG corrigido p/ albumina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 = 26, albumina 2,5 g/dL. Calcule o AGc.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1d6b45" w:sz="18"/>
              <w:bottom w:val="single" w:color="cfd9e0" w:sz="2"/>
              <w:right w:val="single" w:color="cfd9e0" w:sz="2"/>
            </w:tcBorders>
            <w:shd w:fill="eaf3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b45"/>
                <w:sz w:val="18"/>
                <w:szCs w:val="18"/>
              </w:rPr>
              <w:t xml:space="preserve">GABARITO COMENTADO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AGc = 26 + 2,5·(4,0 − 2,5) = 26 + 3,75 = 29,8. Lição: hipoalbuminemia ESCONDE gap — cada 1 g/dL abaixo de 4 mascara ~2,5 de gap. Sem corrigir, você subestima a cetose.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0e6e7d" w:sz="18"/>
              <w:bottom w:val="single" w:color="cfd9e0" w:sz="2"/>
              <w:right w:val="single" w:color="cfd9e0" w:sz="2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B-3 · Δ/Δ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AGc = 28, HCO₃ = 8. Calcule e interprete.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1d6b45" w:sz="18"/>
              <w:bottom w:val="single" w:color="cfd9e0" w:sz="2"/>
              <w:right w:val="single" w:color="cfd9e0" w:sz="2"/>
            </w:tcBorders>
            <w:shd w:fill="eaf3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b45"/>
                <w:sz w:val="18"/>
                <w:szCs w:val="18"/>
              </w:rPr>
              <w:t xml:space="preserve">GABARITO COMENTADO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Δ/Δ = (28 − 12)/(24 − 8) = 16/16 = 1,0 → AGMA de gap elevado "pura". Lição: 1 é a fronteira; abaixo entra componente hiperclorêmico.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0e6e7d" w:sz="18"/>
              <w:bottom w:val="single" w:color="cfd9e0" w:sz="2"/>
              <w:right w:val="single" w:color="cfd9e0" w:sz="2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B-4 · Winter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HCO₃ = 6, pCO₂ medido = 30. A compensação está adequada?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1d6b45" w:sz="18"/>
              <w:bottom w:val="single" w:color="cfd9e0" w:sz="2"/>
              <w:right w:val="single" w:color="cfd9e0" w:sz="2"/>
            </w:tcBorders>
            <w:shd w:fill="eaf3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b45"/>
                <w:sz w:val="18"/>
                <w:szCs w:val="18"/>
              </w:rPr>
              <w:t xml:space="preserve">GABARITO COMENTADO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Esperado = 1,5·6 + 8 = 17 ± 2 (15–19). Medido 30 &gt; 19 → o pulmão NÃO baixou o CO₂ o quanto deveria = acidose respiratória concomitante (pulmão cansando/depressão do drive). Lição: Winter detecta o distúrbio respiratório escondido.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0e6e7d" w:sz="18"/>
              <w:bottom w:val="single" w:color="cfd9e0" w:sz="2"/>
              <w:right w:val="single" w:color="cfd9e0" w:sz="2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B-5 · Na corrigido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 medido 130, glicose 600. Calcule (escolha o fator).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1d6b45" w:sz="18"/>
              <w:bottom w:val="single" w:color="cfd9e0" w:sz="2"/>
              <w:right w:val="single" w:color="cfd9e0" w:sz="2"/>
            </w:tcBorders>
            <w:shd w:fill="eaf3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b45"/>
                <w:sz w:val="18"/>
                <w:szCs w:val="18"/>
              </w:rPr>
              <w:t xml:space="preserve">GABARITO COMENTADO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Glicose &gt; 400 → fator 2,4. NaC = 130 + 2,4·(600 − 100)/100 = 130 + 12 = 142. Lição: a hiperglicemia mascara hipernatremia; o "130" tranquilizador é, na verdade, 142 — território de déficit de água livre / HHS-overlap.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0e6e7d" w:sz="18"/>
              <w:bottom w:val="single" w:color="cfd9e0" w:sz="2"/>
              <w:right w:val="single" w:color="cfd9e0" w:sz="2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B-6 · Osmolaridade efetiva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 142, glicose 600. Calcule e interprete.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1d6b45" w:sz="18"/>
              <w:bottom w:val="single" w:color="cfd9e0" w:sz="2"/>
              <w:right w:val="single" w:color="cfd9e0" w:sz="2"/>
            </w:tcBorders>
            <w:shd w:fill="eaf3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b45"/>
                <w:sz w:val="18"/>
                <w:szCs w:val="18"/>
              </w:rPr>
              <w:t xml:space="preserve">GABARITO COMENTADO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Osm = 2·142 + 600/18 = 284 + 33,3 = 317. Lição: &gt; 320 entra no eixo HHS/neurológico — velocidade de queda osmolar passa a importar tanto quanto o gap.</w:t>
            </w:r>
          </w:p>
        </w:tc>
      </w:tr>
    </w:tbl>
    <w:p>
      <w:pPr>
        <w:pStyle w:val="Heading2"/>
        <w:pageBreakBefore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Didática aplicada a projeto — o aluno constrói o atlas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 princípio: o aluno não "estuda os fenótipos" — ele </w:t>
      </w:r>
      <w:r>
        <w:rPr>
          <w:rFonts w:ascii="Arial" w:cs="Arial" w:eastAsia="Arial" w:hAnsi="Arial"/>
          <w:b/>
          <w:bCs/>
        </w:rPr>
        <w:t xml:space="preserve">produz</w:t>
      </w:r>
      <w:r>
        <w:rPr>
          <w:rFonts w:ascii="Arial" w:cs="Arial" w:eastAsia="Arial" w:hAnsi="Arial"/>
        </w:rPr>
        <w:t xml:space="preserve"> o atlas, e produzir força o raciocínio. Cada fenótipo vira um entregável pequeno e verificável.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b2733"/>
          <w:sz w:val="22"/>
          <w:szCs w:val="22"/>
        </w:rPr>
        <w:t xml:space="preserve">Projeto 1 — Galeria de fenótipos (preencher e defender)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Dada a tabela esqueleto, o aluno preenche cada linha e, para cada fenótipo, escreve a "frase-armadilha" e o "primeiro movimento". Critério de aceite por linha: a frase-armadilha impede um erro real de plantão.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500"/>
        <w:gridCol w:w="2860"/>
      </w:tblGrid>
      <w:tr>
        <w:trPr>
          <w:tblHeader/>
        </w:trPr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shd w:fill="dce8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Fenótipo</w:t>
            </w:r>
          </w:p>
        </w:tc>
        <w:tc>
          <w:tcPr>
            <w:tcW w:type="dxa" w:w="13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shd w:fill="dce8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Glicose</w:t>
            </w:r>
          </w:p>
        </w:tc>
        <w:tc>
          <w:tcPr>
            <w:tcW w:type="dxa" w:w="13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shd w:fill="dce8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Cetona</w:t>
            </w:r>
          </w:p>
        </w:tc>
        <w:tc>
          <w:tcPr>
            <w:tcW w:type="dxa" w:w="15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shd w:fill="dce8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pH/HCO₃</w:t>
            </w:r>
          </w:p>
        </w:tc>
        <w:tc>
          <w:tcPr>
            <w:tcW w:type="dxa" w:w="28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shd w:fill="dce8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Risco principal</w:t>
            </w:r>
          </w:p>
        </w:tc>
      </w:tr>
      <w:tr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 clássica</w:t>
            </w:r>
          </w:p>
        </w:tc>
        <w:tc>
          <w:tcPr>
            <w:tcW w:type="dxa" w:w="13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acidose</w:t>
            </w:r>
          </w:p>
        </w:tc>
        <w:tc>
          <w:tcPr>
            <w:tcW w:type="dxa" w:w="28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subestimar K e volume</w:t>
            </w:r>
          </w:p>
        </w:tc>
      </w:tr>
      <w:tr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 euglicêmica</w:t>
            </w:r>
          </w:p>
        </w:tc>
        <w:tc>
          <w:tcPr>
            <w:tcW w:type="dxa" w:w="13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normal/modesta</w:t>
            </w:r>
          </w:p>
        </w:tc>
        <w:tc>
          <w:tcPr>
            <w:tcW w:type="dxa" w:w="13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acidose</w:t>
            </w:r>
          </w:p>
        </w:tc>
        <w:tc>
          <w:tcPr>
            <w:tcW w:type="dxa" w:w="28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perder o dx pelo destro</w:t>
            </w:r>
          </w:p>
        </w:tc>
      </w:tr>
      <w:tr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Pré-CAD / cetose</w:t>
            </w:r>
          </w:p>
        </w:tc>
        <w:tc>
          <w:tcPr>
            <w:tcW w:type="dxa" w:w="13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variável</w:t>
            </w:r>
          </w:p>
        </w:tc>
        <w:tc>
          <w:tcPr>
            <w:tcW w:type="dxa" w:w="13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alta/subindo</w:t>
            </w:r>
          </w:p>
        </w:tc>
        <w:tc>
          <w:tcPr>
            <w:tcW w:type="dxa" w:w="15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acidose ainda</w:t>
            </w:r>
          </w:p>
        </w:tc>
        <w:tc>
          <w:tcPr>
            <w:tcW w:type="dxa" w:w="28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esperar a acidose para agir</w:t>
            </w:r>
          </w:p>
        </w:tc>
      </w:tr>
      <w:tr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 parcialmente tratada</w:t>
            </w:r>
          </w:p>
        </w:tc>
        <w:tc>
          <w:tcPr>
            <w:tcW w:type="dxa" w:w="13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menor</w:t>
            </w:r>
          </w:p>
        </w:tc>
        <w:tc>
          <w:tcPr>
            <w:tcW w:type="dxa" w:w="13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ainda alta</w:t>
            </w:r>
          </w:p>
        </w:tc>
        <w:tc>
          <w:tcPr>
            <w:tcW w:type="dxa" w:w="15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 melhorando</w:t>
            </w:r>
          </w:p>
        </w:tc>
        <w:tc>
          <w:tcPr>
            <w:tcW w:type="dxa" w:w="28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desligar insulina cedo</w:t>
            </w:r>
          </w:p>
        </w:tc>
      </w:tr>
      <w:tr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 + HHS</w:t>
            </w:r>
          </w:p>
        </w:tc>
        <w:tc>
          <w:tcPr>
            <w:tcW w:type="dxa" w:w="13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muito alta</w:t>
            </w:r>
          </w:p>
        </w:tc>
        <w:tc>
          <w:tcPr>
            <w:tcW w:type="dxa" w:w="13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acidose</w:t>
            </w:r>
          </w:p>
        </w:tc>
        <w:tc>
          <w:tcPr>
            <w:tcW w:type="dxa" w:w="28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osmolaridade e Na corrigido</w:t>
            </w:r>
          </w:p>
        </w:tc>
      </w:tr>
      <w:tr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 hiperclorêmica (tardia)</w:t>
            </w:r>
          </w:p>
        </w:tc>
        <w:tc>
          <w:tcPr>
            <w:tcW w:type="dxa" w:w="13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controlada</w:t>
            </w:r>
          </w:p>
        </w:tc>
        <w:tc>
          <w:tcPr>
            <w:tcW w:type="dxa" w:w="13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baixa/ausente</w:t>
            </w:r>
          </w:p>
        </w:tc>
        <w:tc>
          <w:tcPr>
            <w:tcW w:type="dxa" w:w="15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 preso</w:t>
            </w:r>
          </w:p>
        </w:tc>
        <w:tc>
          <w:tcPr>
            <w:tcW w:type="dxa" w:w="28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tratar cloro com insulina</w:t>
            </w:r>
          </w:p>
        </w:tc>
      </w:tr>
      <w:tr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 + sepse/lactato</w:t>
            </w:r>
          </w:p>
        </w:tc>
        <w:tc>
          <w:tcPr>
            <w:tcW w:type="dxa" w:w="13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variável</w:t>
            </w:r>
          </w:p>
        </w:tc>
        <w:tc>
          <w:tcPr>
            <w:tcW w:type="dxa" w:w="13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mista</w:t>
            </w:r>
          </w:p>
        </w:tc>
        <w:tc>
          <w:tcPr>
            <w:tcW w:type="dxa" w:w="28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atribuir tudo à cetose</w:t>
            </w:r>
          </w:p>
        </w:tc>
      </w:tr>
      <w:tr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Cetose alcoólica/jejum</w:t>
            </w:r>
          </w:p>
        </w:tc>
        <w:tc>
          <w:tcPr>
            <w:tcW w:type="dxa" w:w="13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baixa/normal</w:t>
            </w:r>
          </w:p>
        </w:tc>
        <w:tc>
          <w:tcPr>
            <w:tcW w:type="dxa" w:w="13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variável</w:t>
            </w:r>
          </w:p>
        </w:tc>
        <w:tc>
          <w:tcPr>
            <w:tcW w:type="dxa" w:w="28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confundir com CAD diabética</w:t>
            </w:r>
          </w:p>
        </w:tc>
      </w:tr>
    </w:tbl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b2733"/>
          <w:sz w:val="22"/>
          <w:szCs w:val="22"/>
        </w:rPr>
        <w:t xml:space="preserve">Projeto 2 — Ler um filme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 aluno recebe uma série temporal crua (6 pontos) e produz: (1) o derivado de cada ponto (AGc, Δ/Δ, Winter), (2) a narrativa de uma linha por ponto ("o que aconteceu"), (3) o handoff final. É exatamente o que o painel de evolução já faz — aqui o aluno faz à mão primeiro, depois confere com o painel. Aprender a fórmula construindo o gráfico.</w:t>
      </w:r>
    </w:p>
    <w:p>
      <w:pPr>
        <w:pStyle w:val="Heading3"/>
        <w:spacing w:after="90" w:before="180"/>
      </w:pPr>
      <w:r>
        <w:rPr>
          <w:rFonts w:ascii="Arial" w:cs="Arial" w:eastAsia="Arial" w:hAnsi="Arial"/>
          <w:b/>
          <w:bCs/>
          <w:color w:val="1b2733"/>
          <w:sz w:val="22"/>
          <w:szCs w:val="22"/>
        </w:rPr>
        <w:t xml:space="preserve">Projeto 3 — A lei operacional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Ao final, o aluno escreve as "leis operacionais" com suas palavras e defende cada uma com um caso da galeria. As doze que CAD 360 ensina:</w:t>
      </w:r>
    </w:p>
    <w:p>
      <w:pPr>
        <w:pStyle w:val="ListParagraph"/>
        <w:numPr>
          <w:ilvl w:val="0"/>
          <w:numId w:val="6"/>
        </w:numPr>
        <w:spacing w:after="70" w:line="272"/>
      </w:pPr>
      <w:r>
        <w:rPr>
          <w:rFonts w:ascii="Arial" w:cs="Arial" w:eastAsia="Arial" w:hAnsi="Arial"/>
        </w:rPr>
        <w:t xml:space="preserve">CAD é doença de cetona, não de glicose.</w:t>
      </w:r>
    </w:p>
    <w:p>
      <w:pPr>
        <w:pStyle w:val="ListParagraph"/>
        <w:numPr>
          <w:ilvl w:val="0"/>
          <w:numId w:val="6"/>
        </w:numPr>
        <w:spacing w:after="70" w:line="272"/>
      </w:pPr>
      <w:r>
        <w:rPr>
          <w:rFonts w:ascii="Arial" w:cs="Arial" w:eastAsia="Arial" w:hAnsi="Arial"/>
        </w:rPr>
        <w:t xml:space="preserve">Glicose baixa/modesta não exclui CAD.</w:t>
      </w:r>
    </w:p>
    <w:p>
      <w:pPr>
        <w:pStyle w:val="ListParagraph"/>
        <w:numPr>
          <w:ilvl w:val="0"/>
          <w:numId w:val="6"/>
        </w:numPr>
        <w:spacing w:after="70" w:line="272"/>
      </w:pPr>
      <w:r>
        <w:rPr>
          <w:rFonts w:ascii="Arial" w:cs="Arial" w:eastAsia="Arial" w:hAnsi="Arial"/>
        </w:rPr>
        <w:t xml:space="preserve">K normal/alto não exclui déficit corporal total.</w:t>
      </w:r>
    </w:p>
    <w:p>
      <w:pPr>
        <w:pStyle w:val="ListParagraph"/>
        <w:numPr>
          <w:ilvl w:val="0"/>
          <w:numId w:val="6"/>
        </w:numPr>
        <w:spacing w:after="70" w:line="272"/>
      </w:pPr>
      <w:r>
        <w:rPr>
          <w:rFonts w:ascii="Arial" w:cs="Arial" w:eastAsia="Arial" w:hAnsi="Arial"/>
        </w:rPr>
        <w:t xml:space="preserve">Insulina fecha cetogênese, mas mata se o K estiver baixo (&lt; 3,5 → adiar).</w:t>
      </w:r>
    </w:p>
    <w:p>
      <w:pPr>
        <w:pStyle w:val="ListParagraph"/>
        <w:numPr>
          <w:ilvl w:val="0"/>
          <w:numId w:val="6"/>
        </w:numPr>
        <w:spacing w:after="70" w:line="272"/>
      </w:pPr>
      <w:r>
        <w:rPr>
          <w:rFonts w:ascii="Arial" w:cs="Arial" w:eastAsia="Arial" w:hAnsi="Arial"/>
        </w:rPr>
        <w:t xml:space="preserve">Glicose IV na CAD é ferramenta para permitir insulina, não só "tratar hipoglicemia".</w:t>
      </w:r>
    </w:p>
    <w:p>
      <w:pPr>
        <w:pStyle w:val="ListParagraph"/>
        <w:numPr>
          <w:ilvl w:val="0"/>
          <w:numId w:val="6"/>
        </w:numPr>
        <w:spacing w:after="70" w:line="272"/>
      </w:pPr>
      <w:r>
        <w:rPr>
          <w:rFonts w:ascii="Arial" w:cs="Arial" w:eastAsia="Arial" w:hAnsi="Arial"/>
        </w:rPr>
        <w:t xml:space="preserve">Cloro alto mantém a acidose depois que a cetose resolveu.</w:t>
      </w:r>
    </w:p>
    <w:p>
      <w:pPr>
        <w:pStyle w:val="ListParagraph"/>
        <w:numPr>
          <w:ilvl w:val="0"/>
          <w:numId w:val="6"/>
        </w:numPr>
        <w:spacing w:after="70" w:line="272"/>
      </w:pPr>
      <w:r>
        <w:rPr>
          <w:rFonts w:ascii="Arial" w:cs="Arial" w:eastAsia="Arial" w:hAnsi="Arial"/>
        </w:rPr>
        <w:t xml:space="preserve">Bicarbonato é exceção extrema (pH &lt; 7,0), não reflexo.</w:t>
      </w:r>
    </w:p>
    <w:p>
      <w:pPr>
        <w:pStyle w:val="ListParagraph"/>
        <w:numPr>
          <w:ilvl w:val="0"/>
          <w:numId w:val="6"/>
        </w:numPr>
        <w:spacing w:after="70" w:line="272"/>
      </w:pPr>
      <w:r>
        <w:rPr>
          <w:rFonts w:ascii="Arial" w:cs="Arial" w:eastAsia="Arial" w:hAnsi="Arial"/>
        </w:rPr>
        <w:t xml:space="preserve">Urina cetônica atrasa e engana (βHB vs acetoacetato).</w:t>
      </w:r>
    </w:p>
    <w:p>
      <w:pPr>
        <w:pStyle w:val="ListParagraph"/>
        <w:numPr>
          <w:ilvl w:val="0"/>
          <w:numId w:val="6"/>
        </w:numPr>
        <w:spacing w:after="70" w:line="272"/>
      </w:pPr>
      <w:r>
        <w:rPr>
          <w:rFonts w:ascii="Arial" w:cs="Arial" w:eastAsia="Arial" w:hAnsi="Arial"/>
        </w:rPr>
        <w:t xml:space="preserve">Gasometria isolada é foto; série temporal é filme.</w:t>
      </w:r>
    </w:p>
    <w:p>
      <w:pPr>
        <w:pStyle w:val="ListParagraph"/>
        <w:numPr>
          <w:ilvl w:val="0"/>
          <w:numId w:val="6"/>
        </w:numPr>
        <w:spacing w:after="70" w:line="272"/>
      </w:pPr>
      <w:r>
        <w:rPr>
          <w:rFonts w:ascii="Arial" w:cs="Arial" w:eastAsia="Arial" w:hAnsi="Arial"/>
        </w:rPr>
        <w:t xml:space="preserve">Idoso/renal/cardíaco não recebe volume "automático".</w:t>
      </w:r>
    </w:p>
    <w:p>
      <w:pPr>
        <w:pStyle w:val="ListParagraph"/>
        <w:numPr>
          <w:ilvl w:val="0"/>
          <w:numId w:val="6"/>
        </w:numPr>
        <w:spacing w:after="70" w:line="272"/>
      </w:pPr>
      <w:r>
        <w:rPr>
          <w:rFonts w:ascii="Arial" w:cs="Arial" w:eastAsia="Arial" w:hAnsi="Arial"/>
        </w:rPr>
        <w:t xml:space="preserve">Jejum não significa ausência de glicose IV.</w:t>
      </w:r>
    </w:p>
    <w:p>
      <w:pPr>
        <w:pStyle w:val="ListParagraph"/>
        <w:numPr>
          <w:ilvl w:val="0"/>
          <w:numId w:val="6"/>
        </w:numPr>
        <w:spacing w:after="70" w:line="272"/>
      </w:pPr>
      <w:r>
        <w:rPr>
          <w:rFonts w:ascii="Arial" w:cs="Arial" w:eastAsia="Arial" w:hAnsi="Arial"/>
        </w:rPr>
        <w:t xml:space="preserve">Resolução laboratorial não é alta clínica automática.</w:t>
      </w:r>
    </w:p>
    <w:p>
      <w:pPr>
        <w:pStyle w:val="Heading1"/>
        <w:pageBreakBefore/>
        <w:spacing w:after="160" w:before="300"/>
      </w:pPr>
      <w:r>
        <w:rPr>
          <w:rFonts w:ascii="Arial" w:cs="Arial" w:eastAsia="Arial" w:hAnsi="Arial"/>
          <w:b/>
          <w:bCs/>
          <w:color w:val="1b2733"/>
          <w:sz w:val="30"/>
          <w:szCs w:val="30"/>
        </w:rPr>
        <w:t xml:space="preserve">Apêndice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A. Doutrina de fonte de verdade (consenso 2024)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Umpierrez et al., Diabetes Care 2024;47(8):1257–1275 (ADA/EASD/JBDS/AACE/DTS). Um número, uma fonte — para todo módulo, calculadora e o tratado.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shd w:fill="dce8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Decisão</w:t>
            </w:r>
          </w:p>
        </w:tc>
        <w:tc>
          <w:tcPr>
            <w:tcW w:type="dxa" w:w="69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shd w:fill="dce8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733"/>
                <w:sz w:val="18"/>
                <w:szCs w:val="18"/>
              </w:rPr>
              <w:t xml:space="preserve">Valor canônico (2024)</w:t>
            </w:r>
          </w:p>
        </w:tc>
      </w:tr>
      <w:tr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Diagnóstico</w:t>
            </w:r>
          </w:p>
        </w:tc>
        <w:tc>
          <w:tcPr>
            <w:tcW w:type="dxa" w:w="69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glicose ≥ 200 (ou DM) + βHB ≥ 3,0 mmol/L (ou cetonúria ≥ 2+) + pH &lt; 7,30 e/ou HCO₃ &lt; 18. AG removido dos critérios formais.</w:t>
            </w:r>
          </w:p>
        </w:tc>
      </w:tr>
      <w:tr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Potássio</w:t>
            </w:r>
          </w:p>
        </w:tc>
        <w:tc>
          <w:tcPr>
            <w:tcW w:type="dxa" w:w="69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 quando &lt; 5,0 (manter 4–5). K &lt; 3,5 → repor 10 mmol/h e ADIAR insulina até &gt; 3,5.</w:t>
            </w:r>
          </w:p>
        </w:tc>
      </w:tr>
      <w:tr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Bicarbonato</w:t>
            </w:r>
          </w:p>
        </w:tc>
        <w:tc>
          <w:tcPr>
            <w:tcW w:type="dxa" w:w="69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somente pH &lt; 7,0.</w:t>
            </w:r>
          </w:p>
        </w:tc>
      </w:tr>
      <w:tr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Fosfato</w:t>
            </w:r>
          </w:p>
        </w:tc>
        <w:tc>
          <w:tcPr>
            <w:tcW w:type="dxa" w:w="69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somente &lt; 1,0 mmol/L (~3,1 mg/dL) + sintomático.</w:t>
            </w:r>
          </w:p>
        </w:tc>
      </w:tr>
      <w:tr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Insulina</w:t>
            </w:r>
          </w:p>
        </w:tc>
        <w:tc>
          <w:tcPr>
            <w:tcW w:type="dxa" w:w="69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0,1 U/kg/h IV; reduzir a 0,05 quando glicose &lt; 250 e adicionar dextrose; manter até resolução.</w:t>
            </w:r>
          </w:p>
        </w:tc>
      </w:tr>
      <w:tr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Resolução</w:t>
            </w:r>
          </w:p>
        </w:tc>
        <w:tc>
          <w:tcPr>
            <w:tcW w:type="dxa" w:w="69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βHB &lt; 0,6 E (pH ≥ 7,3 OU HCO₃ ≥ 18); glicose &lt; 200 é adjunta, não critério primário.</w:t>
            </w:r>
          </w:p>
        </w:tc>
      </w:tr>
      <w:tr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 corrigido</w:t>
            </w:r>
          </w:p>
        </w:tc>
        <w:tc>
          <w:tcPr>
            <w:tcW w:type="dxa" w:w="69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fator 1,6 (2,4 se glicose &gt; 400).</w:t>
            </w:r>
          </w:p>
        </w:tc>
      </w:tr>
      <w:tr>
        <w:tc>
          <w:tcPr>
            <w:tcW w:type="dxa" w:w="240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Δ/Δ</w:t>
            </w:r>
          </w:p>
        </w:tc>
        <w:tc>
          <w:tcPr>
            <w:tcW w:type="dxa" w:w="6960"/>
            <w:tcBorders>
              <w:top w:val="single" w:color="cfd9e0" w:sz="1"/>
              <w:left w:val="single" w:color="cfd9e0" w:sz="1"/>
              <w:bottom w:val="single" w:color="cfd9e0" w:sz="1"/>
              <w:right w:val="single" w:color="cfd9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referência em 1 e 2 (consistente com o painel).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8a5a00" w:sz="18"/>
              <w:bottom w:val="single" w:color="cfd9e0" w:sz="2"/>
              <w:right w:val="single" w:color="cfd9e0" w:sz="2"/>
            </w:tcBorders>
            <w:shd w:fill="fbf4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a5a00"/>
                <w:sz w:val="18"/>
                <w:szCs w:val="18"/>
              </w:rPr>
              <w:t xml:space="preserve">LEMBRETE DE CONSISTÊNCIA 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O plano original citava K &lt; 5,5 (JBDS). CAD 360 usa K &lt; 5,0 (2024) para não contradizer o tratado já corrigido. Qualquer módulo que divergir disto está errado por definição.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B. Critérios de reabertura do plano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Sai uma diretriz nova (pós-2024) que mude um limiar canônico → reabrir o Apêndice A e propagar.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A intenção muda de uso pessoal para distribuição → o tripwire dispara: reabrir a triagem SaMD pelo Eixo 0 → (b), análise regulatória dedicada antes de qualquer release.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Ao final do Marco 2 o módulo não supera o tratado num teste com par → executar o critério de kill (dobrar de volta como capítulo do tratado).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e7d"/>
          <w:sz w:val="25"/>
          <w:szCs w:val="25"/>
        </w:rPr>
        <w:t xml:space="preserve">C. Nota de uso pessoal (aplicada)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9e0" w:sz="2"/>
              <w:left w:val="single" w:color="8a5a00" w:sz="18"/>
              <w:bottom w:val="single" w:color="cfd9e0" w:sz="2"/>
              <w:right w:val="single" w:color="cfd9e0" w:sz="2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</w:rPr>
              <w:t xml:space="preserve">CAD 360 é ferramenta de uso pessoal do autor, que é o humano-no-loop de toda decisão. Não é dispositivo colocado no mercado e, nesse regime, fica fora de SaMD. Três condições permanecem válidas enquanto durar esse regime: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70" w:line="272"/>
            </w:pPr>
            <w:r>
              <w:rPr>
                <w:rFonts w:ascii="Arial" w:cs="Arial" w:eastAsia="Arial" w:hAnsi="Arial"/>
              </w:rPr>
              <w:t xml:space="preserve">Validação contra a fonte de verdade do Apêndice A.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70" w:line="272"/>
            </w:pPr>
            <w:r>
              <w:rPr>
                <w:rFonts w:ascii="Arial" w:cs="Arial" w:eastAsia="Arial" w:hAnsi="Arial"/>
              </w:rPr>
              <w:t xml:space="preserve">Responsabilidade clínica integral do autor por qualquer saída usada em paciente real.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70" w:line="272"/>
            </w:pPr>
            <w:r>
              <w:rPr>
                <w:rFonts w:ascii="Arial" w:cs="Arial" w:eastAsia="Arial" w:hAnsi="Arial"/>
              </w:rPr>
              <w:t xml:space="preserve">Tripwire: compartilhar, ceder a outro clínico ou embarcar em fluxo institucional sobre paciente real reclassifica como SaMD e exige o gate regulatório completo.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770"/>
        <w:sz w:val="16"/>
        <w:szCs w:val="16"/>
      </w:rPr>
      <w:t xml:space="preserve"/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6770"/>
        <w:sz w:val="16"/>
        <w:szCs w:val="16"/>
      </w:rPr>
      <w:t xml:space="preserve">CAD 360 · Sistema Dinâmico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2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7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e6e7d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1b27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 360 — auditoria + reescrita + núcleo pedagógico</dc:title>
  <dc:creator>CAD 360</dc:creator>
  <cp:lastModifiedBy>Un-named</cp:lastModifiedBy>
  <cp:revision>1</cp:revision>
  <dcterms:created xsi:type="dcterms:W3CDTF">2026-06-30T20:51:16.760Z</dcterms:created>
  <dcterms:modified xsi:type="dcterms:W3CDTF">2026-06-30T20:51:16.760Z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