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0F490" w14:textId="77777777" w:rsidR="00606892" w:rsidRPr="00606892" w:rsidRDefault="00606892" w:rsidP="00606892">
      <w:pPr>
        <w:jc w:val="center"/>
      </w:pPr>
      <w:r w:rsidRPr="00606892">
        <w:t>Predicting German Imbalance Price Spikes and Volatility</w:t>
      </w:r>
    </w:p>
    <w:p w14:paraId="24C2F455" w14:textId="77777777" w:rsidR="00606892" w:rsidRPr="00606892" w:rsidRDefault="00606892" w:rsidP="00606892">
      <w:pPr>
        <w:jc w:val="center"/>
      </w:pPr>
      <w:r w:rsidRPr="00606892">
        <w:t>Using Grid Frequency-Derived Micro-Signals</w:t>
      </w:r>
    </w:p>
    <w:p w14:paraId="6624274F" w14:textId="77777777" w:rsidR="00606892" w:rsidRPr="00606892" w:rsidRDefault="00606892" w:rsidP="00606892"/>
    <w:p w14:paraId="1404F804" w14:textId="1CF723FA" w:rsidR="00606892" w:rsidRPr="00606892" w:rsidRDefault="00606892" w:rsidP="00606892">
      <w:pPr>
        <w:jc w:val="center"/>
      </w:pPr>
      <w:r w:rsidRPr="00606892">
        <w:t>Diogo Fernandes</w:t>
      </w:r>
    </w:p>
    <w:p w14:paraId="5234FCAD" w14:textId="68307AC6" w:rsidR="00606892" w:rsidRPr="00606892" w:rsidRDefault="00606892" w:rsidP="00606892">
      <w:pPr>
        <w:jc w:val="center"/>
      </w:pPr>
      <w:r w:rsidRPr="00606892">
        <w:t>BSc Computer Science - University of Birmingham</w:t>
      </w:r>
    </w:p>
    <w:p w14:paraId="55CE6258" w14:textId="77777777" w:rsidR="00606892" w:rsidRDefault="00606892" w:rsidP="00606892"/>
    <w:p w14:paraId="699FC094" w14:textId="5ABEA5B7" w:rsidR="00606892" w:rsidRPr="00412799" w:rsidRDefault="00606892" w:rsidP="00606892">
      <w:pPr>
        <w:rPr>
          <w:sz w:val="20"/>
          <w:szCs w:val="20"/>
        </w:rPr>
      </w:pPr>
      <w:r w:rsidRPr="00412799">
        <w:rPr>
          <w:sz w:val="20"/>
          <w:szCs w:val="20"/>
        </w:rPr>
        <w:t xml:space="preserve">Project Supervisor: Daniele Giunchi </w:t>
      </w:r>
    </w:p>
    <w:p w14:paraId="30ABDC36" w14:textId="23966671" w:rsidR="00606892" w:rsidRPr="00412799" w:rsidRDefault="00606892" w:rsidP="00606892">
      <w:pPr>
        <w:rPr>
          <w:sz w:val="20"/>
          <w:szCs w:val="20"/>
        </w:rPr>
      </w:pPr>
      <w:r w:rsidRPr="00412799">
        <w:rPr>
          <w:sz w:val="20"/>
          <w:szCs w:val="20"/>
        </w:rPr>
        <w:t xml:space="preserve">Academic Year: 2025/26  </w:t>
      </w:r>
    </w:p>
    <w:p w14:paraId="6B36CE7C" w14:textId="77777777" w:rsidR="00606892" w:rsidRPr="00412799" w:rsidRDefault="00606892" w:rsidP="00606892">
      <w:pPr>
        <w:rPr>
          <w:sz w:val="20"/>
          <w:szCs w:val="20"/>
        </w:rPr>
      </w:pPr>
    </w:p>
    <w:p w14:paraId="12A58749" w14:textId="68E21FEF" w:rsidR="00606892" w:rsidRPr="00412799" w:rsidRDefault="00606892" w:rsidP="00606892">
      <w:pPr>
        <w:rPr>
          <w:b/>
          <w:bCs/>
          <w:sz w:val="20"/>
          <w:szCs w:val="20"/>
        </w:rPr>
      </w:pPr>
      <w:r w:rsidRPr="00412799">
        <w:rPr>
          <w:b/>
          <w:bCs/>
          <w:sz w:val="20"/>
          <w:szCs w:val="20"/>
        </w:rPr>
        <w:t>Introduction:</w:t>
      </w:r>
    </w:p>
    <w:p w14:paraId="20F8FEDF" w14:textId="77777777" w:rsidR="00606892" w:rsidRPr="00412799" w:rsidRDefault="00606892" w:rsidP="00606892">
      <w:pPr>
        <w:rPr>
          <w:b/>
          <w:bCs/>
          <w:sz w:val="20"/>
          <w:szCs w:val="20"/>
        </w:rPr>
      </w:pPr>
    </w:p>
    <w:p w14:paraId="21DF5FE6" w14:textId="77777777" w:rsidR="00101B9A" w:rsidRDefault="00101B9A" w:rsidP="00101B9A">
      <w:pPr>
        <w:rPr>
          <w:sz w:val="20"/>
          <w:szCs w:val="20"/>
        </w:rPr>
      </w:pPr>
      <w:r w:rsidRPr="00101B9A">
        <w:rPr>
          <w:sz w:val="20"/>
          <w:szCs w:val="20"/>
        </w:rPr>
        <w:t>Electricity imbalance prices (reBAP) play a critical role in modern power systems by reflecting real-time deviations between electricity supply and demand. In markets such as Germany, these prices exhibit extreme volatility and sudden spikes due to forecasting errors, renewable generation uncertainty, and unexpected system events. Accurate short-horizon prediction of imbalance price behaviour is therefore of significant interest for system operators, market participants, and risk managers. Most existing approaches to imbalance price forecasting rely primarily on historical market variables, such as past prices, volumes, and derived statistical features, using methods ranging from classical time-series models to modern machine learning techniques. While effective under normal conditions, these models often struggle to anticipate rare price spikes and regime shifts, as they respond to realised market outcomes rather than underlying physical system conditions.</w:t>
      </w:r>
    </w:p>
    <w:p w14:paraId="0186352A" w14:textId="77777777" w:rsidR="00101B9A" w:rsidRPr="00101B9A" w:rsidRDefault="00101B9A" w:rsidP="00101B9A">
      <w:pPr>
        <w:rPr>
          <w:sz w:val="20"/>
          <w:szCs w:val="20"/>
        </w:rPr>
      </w:pPr>
    </w:p>
    <w:p w14:paraId="4C2BD36A" w14:textId="116EBFA4" w:rsidR="00606892" w:rsidRPr="00412799" w:rsidRDefault="00101B9A" w:rsidP="00101B9A">
      <w:pPr>
        <w:rPr>
          <w:sz w:val="20"/>
          <w:szCs w:val="20"/>
        </w:rPr>
      </w:pPr>
      <w:r w:rsidRPr="00101B9A">
        <w:rPr>
          <w:sz w:val="20"/>
          <w:szCs w:val="20"/>
        </w:rPr>
        <w:t>In contrast, grid frequency directly reflects instantaneous mismatches between electricity supply and demand and provides a real-time indicator of system stress. Power system research has shown that frequency dynamics are sensitive to short-term imbalances; however, this work typically focuses on frequency forecasting or control rather than linking physical frequency measurements to downstream market prices. As a result, there is limited evidence on whether high-resolution grid frequency data can provide early predictive signals for imbalance price behaviour. This project investigates whether short-term grid frequency dynamics can be transformed into informative micro-signals that improve the prediction of electricity imbalance price behaviour beyond conventional price-based features. In particular, the project evaluates frequency-derived features such as excursions and rates of change across multiple predictive tasks, including price regression, spike classification, and volatility regime prediction. The central hypothesis is that frequency-based micro-signals are more informative for anticipating extreme events and volatility changes than for direct point-price forecasting.</w:t>
      </w:r>
    </w:p>
    <w:p w14:paraId="6AA1D744" w14:textId="5EE8384B" w:rsidR="00D50244" w:rsidRDefault="00D50244" w:rsidP="00606892"/>
    <w:p w14:paraId="28B17A29" w14:textId="3E6EE323" w:rsidR="00794B86" w:rsidRPr="00A56090" w:rsidRDefault="00794B86" w:rsidP="00606892">
      <w:pPr>
        <w:rPr>
          <w:b/>
          <w:bCs/>
          <w:sz w:val="20"/>
          <w:szCs w:val="20"/>
        </w:rPr>
      </w:pPr>
      <w:r w:rsidRPr="00A56090">
        <w:rPr>
          <w:b/>
          <w:bCs/>
          <w:sz w:val="20"/>
          <w:szCs w:val="20"/>
        </w:rPr>
        <w:t>2. Related work</w:t>
      </w:r>
    </w:p>
    <w:p w14:paraId="618FB960" w14:textId="77777777" w:rsidR="00794B86" w:rsidRPr="00A56090" w:rsidRDefault="00794B86" w:rsidP="00606892">
      <w:pPr>
        <w:rPr>
          <w:b/>
          <w:bCs/>
          <w:sz w:val="20"/>
          <w:szCs w:val="20"/>
        </w:rPr>
      </w:pPr>
    </w:p>
    <w:p w14:paraId="7E603B47" w14:textId="77777777" w:rsidR="00794B86" w:rsidRPr="00A56090" w:rsidRDefault="00794B86" w:rsidP="00794B86">
      <w:pPr>
        <w:rPr>
          <w:sz w:val="20"/>
          <w:szCs w:val="20"/>
        </w:rPr>
      </w:pPr>
      <w:r w:rsidRPr="00A56090">
        <w:rPr>
          <w:sz w:val="20"/>
          <w:szCs w:val="20"/>
        </w:rPr>
        <w:t>Electricity markets operate under the requirement of continuous real-time balance between supply and demand. Deviations from this balance are resolved through balancing mechanisms, which are reflected in imbalance prices. In the German electricity market, the uniform imbalance price (reBAP) represents the marginal cost of restoring system balance and can exhibit extreme volatility and sharp price spikes. These characteristics make imbalance prices particularly challenging to predict and highly relevant for market participants exposed to short-term imbalance risk.</w:t>
      </w:r>
    </w:p>
    <w:p w14:paraId="4D2C6A16" w14:textId="77777777" w:rsidR="00A56090" w:rsidRDefault="00A56090" w:rsidP="00794B86">
      <w:pPr>
        <w:rPr>
          <w:sz w:val="20"/>
          <w:szCs w:val="20"/>
        </w:rPr>
      </w:pPr>
    </w:p>
    <w:p w14:paraId="3D2A28A1" w14:textId="6A4AA86E" w:rsidR="00794B86" w:rsidRPr="00A56090" w:rsidRDefault="00794B86" w:rsidP="00794B86">
      <w:pPr>
        <w:rPr>
          <w:sz w:val="20"/>
          <w:szCs w:val="20"/>
        </w:rPr>
      </w:pPr>
      <w:r w:rsidRPr="00A56090">
        <w:rPr>
          <w:sz w:val="20"/>
          <w:szCs w:val="20"/>
        </w:rPr>
        <w:t>Imbalance pricing mechanisms are designed to incentivise market participants to remain balanced by penalising deviations between scheduled and realised generation or consumption. In Germany, reBAP prices are derived from the activation of balancing reserves and are published ex post, reflecting real-time system stress and reserve scarcity. Due to the physical constraints of the power system and the discrete activation of reserves, reBAP prices are characterised by heavy-tailed distributions, abrupt spikes, and regime-dependent behaviour. Traditional forecasting approaches struggle to capture these effects due to the rarity and non-linearity of extreme events.</w:t>
      </w:r>
    </w:p>
    <w:p w14:paraId="50F961E6" w14:textId="77777777" w:rsidR="00A56090" w:rsidRDefault="00A56090" w:rsidP="00794B86">
      <w:pPr>
        <w:rPr>
          <w:sz w:val="20"/>
          <w:szCs w:val="20"/>
        </w:rPr>
      </w:pPr>
    </w:p>
    <w:p w14:paraId="703D5998" w14:textId="0DF3E22D" w:rsidR="00794B86" w:rsidRPr="00A56090" w:rsidRDefault="00794B86" w:rsidP="00794B86">
      <w:pPr>
        <w:rPr>
          <w:sz w:val="20"/>
          <w:szCs w:val="20"/>
        </w:rPr>
      </w:pPr>
      <w:r w:rsidRPr="00A56090">
        <w:rPr>
          <w:sz w:val="20"/>
          <w:szCs w:val="20"/>
        </w:rPr>
        <w:t xml:space="preserve">Power grid frequency is the central observable of system balance, directly reflecting instantaneous mismatches between electricity supply and demand. Overproduction causes frequency increases, while shortages lead to frequency drops. Frequency dynamics are shaped by a combination of deterministic </w:t>
      </w:r>
      <w:r w:rsidRPr="00A56090">
        <w:rPr>
          <w:sz w:val="20"/>
          <w:szCs w:val="20"/>
        </w:rPr>
        <w:lastRenderedPageBreak/>
        <w:t>factors, such as market dispatch intervals and control actions, and stochastic influences, including demand fluctuations and renewable generation variability. Prior work has shown that grid frequency exhibits structured temporal patterns, including regular disturbances aligned with trading intervals, as well as short-term stochastic behaviour linked to system stress and control activation</w:t>
      </w:r>
      <w:r w:rsidR="00084F9E">
        <w:rPr>
          <w:sz w:val="20"/>
          <w:szCs w:val="20"/>
        </w:rPr>
        <w:t>. [1]</w:t>
      </w:r>
    </w:p>
    <w:p w14:paraId="12745694" w14:textId="77777777" w:rsidR="00A56090" w:rsidRDefault="00A56090" w:rsidP="00794B86">
      <w:pPr>
        <w:rPr>
          <w:sz w:val="20"/>
          <w:szCs w:val="20"/>
        </w:rPr>
      </w:pPr>
    </w:p>
    <w:p w14:paraId="146B3B91" w14:textId="0A2D99DD" w:rsidR="00794B86" w:rsidRPr="00A56090" w:rsidRDefault="00794B86" w:rsidP="00794B86">
      <w:pPr>
        <w:rPr>
          <w:sz w:val="20"/>
          <w:szCs w:val="20"/>
        </w:rPr>
      </w:pPr>
      <w:r w:rsidRPr="00A56090">
        <w:rPr>
          <w:sz w:val="20"/>
          <w:szCs w:val="20"/>
        </w:rPr>
        <w:t>Importantly, grid frequency encodes information about system conditions that are not directly observable from market prices alone. While frequency has been studied extensively for system stability and control purposes, its potential role as a predictive micro-signal for market outcomes remains underexplored.</w:t>
      </w:r>
    </w:p>
    <w:p w14:paraId="70D8DE93" w14:textId="742DD143" w:rsidR="00794B86" w:rsidRPr="00A56090" w:rsidRDefault="00794B86" w:rsidP="00794B86">
      <w:pPr>
        <w:rPr>
          <w:sz w:val="20"/>
          <w:szCs w:val="20"/>
        </w:rPr>
      </w:pPr>
    </w:p>
    <w:p w14:paraId="4ADF9062" w14:textId="7E2FE792" w:rsidR="00794B86" w:rsidRPr="00A56090" w:rsidRDefault="00794B86" w:rsidP="00794B86">
      <w:pPr>
        <w:rPr>
          <w:sz w:val="20"/>
          <w:szCs w:val="20"/>
        </w:rPr>
      </w:pPr>
      <w:r w:rsidRPr="00A56090">
        <w:rPr>
          <w:sz w:val="20"/>
          <w:szCs w:val="20"/>
        </w:rPr>
        <w:t>A substantial body of literature focuses on short-term electricity price forecasting using statistical and machine learning approaches. Common methods include ARIMA-based models, GARCH variants for volatility modelling, and a wide range of machine learning techniques such as neural networks, support vector machines, and ensemble models. These approaches typically rely on historical price data and engineered price-derived features, such as lags, rolling statistics, and calendar effects</w:t>
      </w:r>
      <w:r w:rsidR="00084F9E">
        <w:rPr>
          <w:sz w:val="20"/>
          <w:szCs w:val="20"/>
        </w:rPr>
        <w:t>.[2][3]</w:t>
      </w:r>
    </w:p>
    <w:p w14:paraId="7DB2D77D" w14:textId="7424C333" w:rsidR="00794B86" w:rsidRPr="00A56090" w:rsidRDefault="00794B86" w:rsidP="00794B86">
      <w:pPr>
        <w:rPr>
          <w:sz w:val="20"/>
          <w:szCs w:val="20"/>
        </w:rPr>
      </w:pPr>
    </w:p>
    <w:p w14:paraId="468F9044" w14:textId="6E63E898" w:rsidR="00794B86" w:rsidRPr="00A56090" w:rsidRDefault="00794B86" w:rsidP="00794B86">
      <w:pPr>
        <w:rPr>
          <w:sz w:val="20"/>
          <w:szCs w:val="20"/>
        </w:rPr>
      </w:pPr>
      <w:r w:rsidRPr="00A56090">
        <w:rPr>
          <w:sz w:val="20"/>
          <w:szCs w:val="20"/>
        </w:rPr>
        <w:t>Price spikes have received particular attention due to their economic impact and forecasting difficulty. Existing work addresses spike prediction either through classification frameworks or by combining spike detection with regression-based magnitude estimation. Techniques such as oversampling, regime separation, and volatility modelling are commonly employed to address class imbalance and extreme price behaviour. However, these methods largely remain confined to market-internal information and do not explicitly incorporate physical system signals.</w:t>
      </w:r>
      <w:r w:rsidR="00084F9E">
        <w:rPr>
          <w:sz w:val="20"/>
          <w:szCs w:val="20"/>
        </w:rPr>
        <w:t>[4]</w:t>
      </w:r>
    </w:p>
    <w:p w14:paraId="046F29BB" w14:textId="77777777" w:rsidR="00A56090" w:rsidRDefault="00A56090" w:rsidP="00794B86">
      <w:pPr>
        <w:rPr>
          <w:sz w:val="20"/>
          <w:szCs w:val="20"/>
        </w:rPr>
      </w:pPr>
    </w:p>
    <w:p w14:paraId="30D685C0" w14:textId="7DFD95F7" w:rsidR="00794B86" w:rsidRPr="00A56090" w:rsidRDefault="00794B86" w:rsidP="00794B86">
      <w:pPr>
        <w:rPr>
          <w:sz w:val="20"/>
          <w:szCs w:val="20"/>
        </w:rPr>
      </w:pPr>
      <w:r w:rsidRPr="00A56090">
        <w:rPr>
          <w:sz w:val="20"/>
          <w:szCs w:val="20"/>
        </w:rPr>
        <w:t>Across the existing literature, electricity price and spike forecasting models predominantly rely on market-derived variables, including historical prices, demand forecasts, and exogenous market indicators. In contrast, high-frequency physical signals from the power system itself—such as grid frequency—are rarely considered as potential predictors of imbalance price dynamics. While grid frequency has been shown to be predictable and structurally informative in the</w:t>
      </w:r>
      <w:r w:rsidRPr="00A56090">
        <w:rPr>
          <w:b/>
          <w:bCs/>
          <w:sz w:val="20"/>
          <w:szCs w:val="20"/>
        </w:rPr>
        <w:t xml:space="preserve"> </w:t>
      </w:r>
      <w:r w:rsidRPr="00A56090">
        <w:rPr>
          <w:sz w:val="20"/>
          <w:szCs w:val="20"/>
        </w:rPr>
        <w:t>context of system operation, its linkage to imbalance price behaviour has not been systematically investigated.</w:t>
      </w:r>
    </w:p>
    <w:p w14:paraId="3D22B6FA" w14:textId="30D5D47E" w:rsidR="00794B86" w:rsidRDefault="00794B86" w:rsidP="00794B86">
      <w:pPr>
        <w:rPr>
          <w:sz w:val="20"/>
          <w:szCs w:val="20"/>
        </w:rPr>
      </w:pPr>
      <w:r w:rsidRPr="00A56090">
        <w:rPr>
          <w:sz w:val="20"/>
          <w:szCs w:val="20"/>
        </w:rPr>
        <w:t>This project addresses this gap by exploring whether frequency-derived micro-signals contain incremental predictive information for imbalance price behaviour, particularly for extreme events and volatility regimes, beyond what is captured by price-based features alone</w:t>
      </w:r>
    </w:p>
    <w:p w14:paraId="21F91698" w14:textId="77777777" w:rsidR="001F30DF" w:rsidRDefault="001F30DF" w:rsidP="00794B86">
      <w:pPr>
        <w:rPr>
          <w:sz w:val="20"/>
          <w:szCs w:val="20"/>
        </w:rPr>
      </w:pPr>
    </w:p>
    <w:p w14:paraId="4F337257" w14:textId="77777777" w:rsidR="001F30DF" w:rsidRDefault="001F30DF" w:rsidP="001F30DF">
      <w:pPr>
        <w:rPr>
          <w:b/>
          <w:bCs/>
          <w:sz w:val="20"/>
          <w:szCs w:val="20"/>
        </w:rPr>
      </w:pPr>
      <w:r w:rsidRPr="001F30DF">
        <w:rPr>
          <w:b/>
          <w:bCs/>
          <w:sz w:val="20"/>
          <w:szCs w:val="20"/>
        </w:rPr>
        <w:t>3. Problem Definition</w:t>
      </w:r>
    </w:p>
    <w:p w14:paraId="47023F9B" w14:textId="77777777" w:rsidR="001F30DF" w:rsidRPr="001F30DF" w:rsidRDefault="001F30DF" w:rsidP="001F30DF">
      <w:pPr>
        <w:rPr>
          <w:b/>
          <w:bCs/>
          <w:sz w:val="20"/>
          <w:szCs w:val="20"/>
        </w:rPr>
      </w:pPr>
    </w:p>
    <w:p w14:paraId="03B65EE8" w14:textId="77777777" w:rsidR="001F30DF" w:rsidRPr="001F30DF" w:rsidRDefault="001F30DF" w:rsidP="001F30DF">
      <w:pPr>
        <w:rPr>
          <w:sz w:val="20"/>
          <w:szCs w:val="20"/>
        </w:rPr>
      </w:pPr>
      <w:r w:rsidRPr="001F30DF">
        <w:rPr>
          <w:sz w:val="20"/>
          <w:szCs w:val="20"/>
        </w:rPr>
        <w:t>The objective of this project is to assess whether high-frequency physical signals from the power system contain predictive information about short-term electricity imbalance price behaviour beyond what is captured by traditional market variables. In particular, the project focuses on grid frequency micro-signals as potential early indicators of system stress that may precede imbalance price spikes or shifts in volatility.</w:t>
      </w:r>
    </w:p>
    <w:p w14:paraId="3A867455" w14:textId="77777777" w:rsidR="001F30DF" w:rsidRDefault="001F30DF" w:rsidP="001F30DF">
      <w:pPr>
        <w:rPr>
          <w:sz w:val="20"/>
          <w:szCs w:val="20"/>
        </w:rPr>
      </w:pPr>
    </w:p>
    <w:p w14:paraId="3748E5E8" w14:textId="3C4EEA7C" w:rsidR="001F30DF" w:rsidRPr="001F30DF" w:rsidRDefault="001F30DF" w:rsidP="001F30DF">
      <w:pPr>
        <w:rPr>
          <w:sz w:val="20"/>
          <w:szCs w:val="20"/>
        </w:rPr>
      </w:pPr>
      <w:r w:rsidRPr="001F30DF">
        <w:rPr>
          <w:sz w:val="20"/>
          <w:szCs w:val="20"/>
        </w:rPr>
        <w:t>The problem is formulated through three related predictive tasks, each targeting a different aspect of imbalance price behaviour at a 15-minute market resolution:</w:t>
      </w:r>
    </w:p>
    <w:p w14:paraId="6A74178E" w14:textId="77777777" w:rsidR="001F30DF" w:rsidRDefault="001F30DF" w:rsidP="001F30DF">
      <w:pPr>
        <w:pStyle w:val="ListParagraph"/>
        <w:numPr>
          <w:ilvl w:val="0"/>
          <w:numId w:val="1"/>
        </w:numPr>
        <w:rPr>
          <w:sz w:val="20"/>
          <w:szCs w:val="20"/>
        </w:rPr>
      </w:pPr>
      <w:r w:rsidRPr="001F30DF">
        <w:rPr>
          <w:sz w:val="20"/>
          <w:szCs w:val="20"/>
        </w:rPr>
        <w:t>Next-interval imbalance price prediction, framed as a regression task to estimate the realised reBAP price in the subsequent settlement interval.</w:t>
      </w:r>
    </w:p>
    <w:p w14:paraId="7A7AD5D2" w14:textId="77777777" w:rsidR="001F30DF" w:rsidRDefault="001F30DF" w:rsidP="001F30DF">
      <w:pPr>
        <w:pStyle w:val="ListParagraph"/>
        <w:numPr>
          <w:ilvl w:val="0"/>
          <w:numId w:val="1"/>
        </w:numPr>
        <w:rPr>
          <w:sz w:val="20"/>
          <w:szCs w:val="20"/>
        </w:rPr>
      </w:pPr>
      <w:r w:rsidRPr="001F30DF">
        <w:rPr>
          <w:sz w:val="20"/>
          <w:szCs w:val="20"/>
        </w:rPr>
        <w:t>Spike occurrence prediction, framed as a binary classification task to identify whether the next interval contains an extreme imbalance price event.</w:t>
      </w:r>
    </w:p>
    <w:p w14:paraId="289044C0" w14:textId="6C2249EC" w:rsidR="001F30DF" w:rsidRPr="001F30DF" w:rsidRDefault="001F30DF" w:rsidP="001F30DF">
      <w:pPr>
        <w:pStyle w:val="ListParagraph"/>
        <w:numPr>
          <w:ilvl w:val="0"/>
          <w:numId w:val="1"/>
        </w:numPr>
        <w:rPr>
          <w:sz w:val="20"/>
          <w:szCs w:val="20"/>
        </w:rPr>
      </w:pPr>
      <w:r w:rsidRPr="001F30DF">
        <w:rPr>
          <w:sz w:val="20"/>
          <w:szCs w:val="20"/>
        </w:rPr>
        <w:t>Future volatility regime prediction, framed as a multi-class classification task distinguishing low, medium, and high volatility states over a short forward horizon.</w:t>
      </w:r>
    </w:p>
    <w:p w14:paraId="41AA335F" w14:textId="77777777" w:rsidR="001F30DF" w:rsidRPr="001F30DF" w:rsidRDefault="001F30DF" w:rsidP="001F30DF">
      <w:pPr>
        <w:rPr>
          <w:sz w:val="20"/>
          <w:szCs w:val="20"/>
        </w:rPr>
      </w:pPr>
      <w:r w:rsidRPr="001F30DF">
        <w:rPr>
          <w:sz w:val="20"/>
          <w:szCs w:val="20"/>
        </w:rPr>
        <w:t>All tasks are evaluated using strictly time-ordered train, validation, and test splits to reflect realistic forecasting conditions and avoid look-ahead bias.</w:t>
      </w:r>
    </w:p>
    <w:p w14:paraId="03BECD14" w14:textId="77777777" w:rsidR="001F30DF" w:rsidRDefault="001F30DF" w:rsidP="001F30DF">
      <w:pPr>
        <w:rPr>
          <w:sz w:val="20"/>
          <w:szCs w:val="20"/>
        </w:rPr>
      </w:pPr>
    </w:p>
    <w:p w14:paraId="3AA9CC73" w14:textId="5329C030" w:rsidR="001F30DF" w:rsidRDefault="001F30DF" w:rsidP="001F30DF">
      <w:pPr>
        <w:rPr>
          <w:sz w:val="20"/>
          <w:szCs w:val="20"/>
        </w:rPr>
      </w:pPr>
      <w:r w:rsidRPr="001F30DF">
        <w:rPr>
          <w:sz w:val="20"/>
          <w:szCs w:val="20"/>
        </w:rPr>
        <w:t>The central hypothesis tested in this project is that engineered micro-signals derived from high-frequency grid frequency measurements—such as rate-of-change of frequency (</w:t>
      </w:r>
      <w:proofErr w:type="spellStart"/>
      <w:r w:rsidRPr="001F30DF">
        <w:rPr>
          <w:sz w:val="20"/>
          <w:szCs w:val="20"/>
        </w:rPr>
        <w:t>RoCoF</w:t>
      </w:r>
      <w:proofErr w:type="spellEnd"/>
      <w:r w:rsidRPr="001F30DF">
        <w:rPr>
          <w:sz w:val="20"/>
          <w:szCs w:val="20"/>
        </w:rPr>
        <w:t>), excursion depth, short-term volatility, and recovery dynamics—contain predictive information about short-term imbalance prices and price spikes.</w:t>
      </w:r>
    </w:p>
    <w:p w14:paraId="58C98885" w14:textId="77777777" w:rsidR="001F30DF" w:rsidRPr="001F30DF" w:rsidRDefault="001F30DF" w:rsidP="001F30DF">
      <w:pPr>
        <w:rPr>
          <w:sz w:val="20"/>
          <w:szCs w:val="20"/>
        </w:rPr>
      </w:pPr>
    </w:p>
    <w:p w14:paraId="1F151E5D" w14:textId="77777777" w:rsidR="001F30DF" w:rsidRPr="001F30DF" w:rsidRDefault="001F30DF" w:rsidP="001F30DF">
      <w:pPr>
        <w:rPr>
          <w:sz w:val="20"/>
          <w:szCs w:val="20"/>
        </w:rPr>
      </w:pPr>
      <w:r w:rsidRPr="001F30DF">
        <w:rPr>
          <w:sz w:val="20"/>
          <w:szCs w:val="20"/>
        </w:rPr>
        <w:lastRenderedPageBreak/>
        <w:t>This hypothesis is grounded in the physical operation of the power system. Electricity generation must continuously match demand, and deviations from this balance are immediately reflected in grid frequency. When supply exceeds demand, frequency rises; when demand exceeds supply, frequency falls. Large generation losses or demand surges cause abrupt frequency deviations that are initially absorbed by system inertia. If these deviations are not rapidly corrected, balancing reserves must be activated to restore frequency stability. The activation of reserves incurs real costs, which are subsequently reflected in imbalance prices. As a result, short-term frequency disturbances can be interpreted as real-time proxies for underlying supply–demand imbalance and system stress.</w:t>
      </w:r>
    </w:p>
    <w:p w14:paraId="4C4954F4" w14:textId="77777777" w:rsidR="001F30DF" w:rsidRDefault="001F30DF" w:rsidP="001F30DF">
      <w:pPr>
        <w:rPr>
          <w:sz w:val="20"/>
          <w:szCs w:val="20"/>
        </w:rPr>
      </w:pPr>
    </w:p>
    <w:p w14:paraId="494BDA07" w14:textId="468736AD" w:rsidR="001F30DF" w:rsidRPr="001F30DF" w:rsidRDefault="001F30DF" w:rsidP="001F30DF">
      <w:pPr>
        <w:rPr>
          <w:sz w:val="20"/>
          <w:szCs w:val="20"/>
        </w:rPr>
      </w:pPr>
      <w:r w:rsidRPr="001F30DF">
        <w:rPr>
          <w:sz w:val="20"/>
          <w:szCs w:val="20"/>
        </w:rPr>
        <w:t xml:space="preserve">While there is extensive literature on electricity price forecasting and a growing body of work analysing high-resolution grid frequency dynamics, these two research areas remain largely disconnected. Existing studies typically either forecast grid frequency for system operation and control purposes, or forecast electricity prices using market, demand, and weather variables. There is very limited work that explicitly uses the microstructure of physical frequency deviations—such as </w:t>
      </w:r>
      <w:proofErr w:type="spellStart"/>
      <w:r w:rsidRPr="001F30DF">
        <w:rPr>
          <w:sz w:val="20"/>
          <w:szCs w:val="20"/>
        </w:rPr>
        <w:t>RoCoF</w:t>
      </w:r>
      <w:proofErr w:type="spellEnd"/>
      <w:r w:rsidRPr="001F30DF">
        <w:rPr>
          <w:sz w:val="20"/>
          <w:szCs w:val="20"/>
        </w:rPr>
        <w:t xml:space="preserve"> shocks, excursion magnitudes, volatility, or recovery times—as predictive features for imbalance price behaviour.</w:t>
      </w:r>
    </w:p>
    <w:p w14:paraId="7DF81F92" w14:textId="77777777" w:rsidR="001F30DF" w:rsidRPr="001F30DF" w:rsidRDefault="001F30DF" w:rsidP="001F30DF">
      <w:pPr>
        <w:rPr>
          <w:sz w:val="20"/>
          <w:szCs w:val="20"/>
        </w:rPr>
      </w:pPr>
      <w:r w:rsidRPr="001F30DF">
        <w:rPr>
          <w:sz w:val="20"/>
          <w:szCs w:val="20"/>
        </w:rPr>
        <w:t>This project addresses that gap by constructing frequency-based micro-signals from second-level measurements, aggregating them to market settlement intervals, and systematically testing their incremental predictive value within machine-learning models. The key novelty lies in treating grid frequency dynamics as a real-time physical indicator of imbalance conditions and evaluating whether these indicators lead or complement price-based signals.</w:t>
      </w:r>
    </w:p>
    <w:p w14:paraId="32E02CDC" w14:textId="0457AE07" w:rsidR="001F30DF" w:rsidRPr="001F30DF" w:rsidRDefault="001F30DF" w:rsidP="001F30DF">
      <w:pPr>
        <w:rPr>
          <w:sz w:val="20"/>
          <w:szCs w:val="20"/>
        </w:rPr>
      </w:pPr>
    </w:p>
    <w:p w14:paraId="0C7658FC" w14:textId="59373CFF" w:rsidR="001F30DF" w:rsidRPr="001F30DF" w:rsidRDefault="001F30DF" w:rsidP="001F30DF">
      <w:pPr>
        <w:rPr>
          <w:sz w:val="20"/>
          <w:szCs w:val="20"/>
        </w:rPr>
      </w:pPr>
      <w:r w:rsidRPr="001F30DF">
        <w:rPr>
          <w:sz w:val="20"/>
          <w:szCs w:val="20"/>
        </w:rPr>
        <w:t>Because frequency micro-signals are inherently high-resolution phenomena, the analysis requires second-level frequency measurements with sufficient precision. Due to changes in measurement resolution after 2016, the study focuses on the 2012–2016 period, which provides the only fully consistent high-precision dataset for the German (Continental European) synchronous area. Imbalance prices are taken from the post-2010 uniform reBAP system, ensuring consistency across transmission system operators.</w:t>
      </w:r>
      <w:r>
        <w:rPr>
          <w:sz w:val="20"/>
          <w:szCs w:val="20"/>
        </w:rPr>
        <w:t xml:space="preserve"> </w:t>
      </w:r>
      <w:r w:rsidRPr="001F30DF">
        <w:rPr>
          <w:sz w:val="20"/>
          <w:szCs w:val="20"/>
        </w:rPr>
        <w:t>All frequency features are aggregated to 15-minute intervals to align with imbalance price settlement periods, enabling direct comparison between physical system signals and market outcomes.</w:t>
      </w:r>
    </w:p>
    <w:p w14:paraId="6DD1A6E5" w14:textId="77777777" w:rsidR="001F30DF" w:rsidRDefault="001F30DF" w:rsidP="001F30DF">
      <w:pPr>
        <w:rPr>
          <w:sz w:val="20"/>
          <w:szCs w:val="20"/>
        </w:rPr>
      </w:pPr>
    </w:p>
    <w:p w14:paraId="48E796C0" w14:textId="32BBE875" w:rsidR="001F30DF" w:rsidRPr="001F30DF" w:rsidRDefault="001F30DF" w:rsidP="001F30DF">
      <w:pPr>
        <w:rPr>
          <w:sz w:val="20"/>
          <w:szCs w:val="20"/>
        </w:rPr>
      </w:pPr>
      <w:r w:rsidRPr="001F30DF">
        <w:rPr>
          <w:sz w:val="20"/>
          <w:szCs w:val="20"/>
        </w:rPr>
        <w:t>Predicting imbalance prices is inherently challenging for several structural reasons. First, reBAP prices exhibit extreme heavy-tailed behaviour, with most observations clustered at moderate values and rare but severe spikes reaching several thousand euros per megawatt-hour. Second, spike events are rare, creating severe class imbalance that complicates both regression and classification tasks. Third, imbalance prices display strong autocorrelation and non-stationarity, with patterns that evolve across years due to changing market conditions, renewable penetration, and control policies.</w:t>
      </w:r>
    </w:p>
    <w:p w14:paraId="778F18A4" w14:textId="77777777" w:rsidR="001F30DF" w:rsidRPr="001F30DF" w:rsidRDefault="001F30DF" w:rsidP="001F30DF">
      <w:pPr>
        <w:rPr>
          <w:sz w:val="20"/>
          <w:szCs w:val="20"/>
        </w:rPr>
      </w:pPr>
      <w:r w:rsidRPr="001F30DF">
        <w:rPr>
          <w:sz w:val="20"/>
          <w:szCs w:val="20"/>
        </w:rPr>
        <w:t>These properties make single-objective regression particularly difficult, as standard loss functions are dominated by rare extreme errors. As a result, this project evaluates frequency micro-signals not only within a regression framework, but also within targeted classification and regime-based formulations, where their predictive value is expected to be more clearly expressed.</w:t>
      </w:r>
    </w:p>
    <w:p w14:paraId="373EF31B" w14:textId="47B14410" w:rsidR="001F30DF" w:rsidRDefault="001F30DF" w:rsidP="001F30DF">
      <w:pPr>
        <w:rPr>
          <w:sz w:val="20"/>
          <w:szCs w:val="20"/>
        </w:rPr>
      </w:pPr>
      <w:r w:rsidRPr="001F30DF">
        <w:rPr>
          <w:sz w:val="20"/>
          <w:szCs w:val="20"/>
        </w:rPr>
        <w:t>Therefore, we frame the project as a set of complementary regression and classification problems designed to test whether frequency-derived micro-signals provide robust, incremental predictive information for short-term imbalance price dynamics under realistic, time-ordered evaluation conditions.</w:t>
      </w:r>
    </w:p>
    <w:p w14:paraId="2A4B5867" w14:textId="77777777" w:rsidR="00A56090" w:rsidRDefault="00A56090" w:rsidP="00794B86">
      <w:pPr>
        <w:rPr>
          <w:sz w:val="20"/>
          <w:szCs w:val="20"/>
        </w:rPr>
      </w:pPr>
    </w:p>
    <w:p w14:paraId="78628638" w14:textId="5646566E" w:rsidR="001F30DF" w:rsidRPr="001F30DF" w:rsidRDefault="001F30DF" w:rsidP="001F30DF">
      <w:pPr>
        <w:rPr>
          <w:b/>
          <w:bCs/>
          <w:sz w:val="20"/>
          <w:szCs w:val="20"/>
        </w:rPr>
      </w:pPr>
      <w:r w:rsidRPr="001F30DF">
        <w:rPr>
          <w:b/>
          <w:bCs/>
          <w:sz w:val="20"/>
          <w:szCs w:val="20"/>
        </w:rPr>
        <w:t xml:space="preserve">4. Data </w:t>
      </w:r>
      <w:proofErr w:type="spellStart"/>
      <w:r>
        <w:rPr>
          <w:b/>
          <w:bCs/>
          <w:sz w:val="20"/>
          <w:szCs w:val="20"/>
        </w:rPr>
        <w:t>Desgin</w:t>
      </w:r>
      <w:proofErr w:type="spellEnd"/>
    </w:p>
    <w:p w14:paraId="76C41876" w14:textId="77777777" w:rsidR="001F30DF" w:rsidRPr="001F30DF" w:rsidRDefault="001F30DF" w:rsidP="001F30DF">
      <w:pPr>
        <w:rPr>
          <w:sz w:val="20"/>
          <w:szCs w:val="20"/>
        </w:rPr>
      </w:pPr>
      <w:r w:rsidRPr="001F30DF">
        <w:rPr>
          <w:sz w:val="20"/>
          <w:szCs w:val="20"/>
        </w:rPr>
        <w:t>This project combines high-frequency physical measurements from the power system with market-level imbalance price data to evaluate whether grid frequency micro-signals contain predictive information for imbalance price behaviour. All data sources, preprocessing steps, and evaluation splits are designed to reflect realistic forecasting conditions while preserving the integrity of the underlying signals.</w:t>
      </w:r>
    </w:p>
    <w:p w14:paraId="236E198E" w14:textId="77777777" w:rsidR="001F30DF" w:rsidRDefault="001F30DF" w:rsidP="001F30DF">
      <w:pPr>
        <w:rPr>
          <w:sz w:val="20"/>
          <w:szCs w:val="20"/>
        </w:rPr>
      </w:pPr>
    </w:p>
    <w:p w14:paraId="71A7263B" w14:textId="4E23A838" w:rsidR="001F30DF" w:rsidRDefault="001F30DF" w:rsidP="001F30DF">
      <w:pPr>
        <w:rPr>
          <w:sz w:val="20"/>
          <w:szCs w:val="20"/>
        </w:rPr>
      </w:pPr>
      <w:r w:rsidRPr="001F30DF">
        <w:rPr>
          <w:sz w:val="20"/>
          <w:szCs w:val="20"/>
        </w:rPr>
        <w:t>Grid frequency data were obtained from the publicly available Power Grid Frequency Database, focusing on the German (Continental European) synchronous area [5]. The dataset provides second-level</w:t>
      </w:r>
      <w:r>
        <w:rPr>
          <w:sz w:val="20"/>
          <w:szCs w:val="20"/>
        </w:rPr>
        <w:t xml:space="preserve"> </w:t>
      </w:r>
      <w:r w:rsidRPr="001F30DF">
        <w:rPr>
          <w:sz w:val="20"/>
          <w:szCs w:val="20"/>
        </w:rPr>
        <w:t>frequency measurements and represents one of the few sources of long-horizon, high-resolution</w:t>
      </w:r>
      <w:r>
        <w:rPr>
          <w:sz w:val="20"/>
          <w:szCs w:val="20"/>
        </w:rPr>
        <w:t xml:space="preserve"> </w:t>
      </w:r>
      <w:r w:rsidRPr="001F30DF">
        <w:rPr>
          <w:sz w:val="20"/>
          <w:szCs w:val="20"/>
        </w:rPr>
        <w:t>frequency data suitable for micro-signal analysis. Due to a documented change in measurement</w:t>
      </w:r>
      <w:r>
        <w:rPr>
          <w:sz w:val="20"/>
          <w:szCs w:val="20"/>
        </w:rPr>
        <w:t xml:space="preserve"> </w:t>
      </w:r>
      <w:r w:rsidRPr="001F30DF">
        <w:rPr>
          <w:sz w:val="20"/>
          <w:szCs w:val="20"/>
        </w:rPr>
        <w:t xml:space="preserve">precision after early 2017, only the 2012–2016 period is used, which constitutes the last fully consistent high-precision dataset for the German grid. This choice ensures that engineered frequency features such </w:t>
      </w:r>
      <w:r w:rsidRPr="001F30DF">
        <w:rPr>
          <w:sz w:val="20"/>
          <w:szCs w:val="20"/>
        </w:rPr>
        <w:lastRenderedPageBreak/>
        <w:t xml:space="preserve">as </w:t>
      </w:r>
      <w:proofErr w:type="spellStart"/>
      <w:r w:rsidRPr="001F30DF">
        <w:rPr>
          <w:sz w:val="20"/>
          <w:szCs w:val="20"/>
        </w:rPr>
        <w:t>RoCoF</w:t>
      </w:r>
      <w:proofErr w:type="spellEnd"/>
      <w:r w:rsidRPr="001F30DF">
        <w:rPr>
          <w:sz w:val="20"/>
          <w:szCs w:val="20"/>
        </w:rPr>
        <w:t>, excursion depth, and short-term volatility are not distorted by changes in measurement resolution.</w:t>
      </w:r>
    </w:p>
    <w:p w14:paraId="209E4CE0" w14:textId="77777777" w:rsidR="001F30DF" w:rsidRPr="001F30DF" w:rsidRDefault="001F30DF" w:rsidP="001F30DF">
      <w:pPr>
        <w:rPr>
          <w:sz w:val="20"/>
          <w:szCs w:val="20"/>
        </w:rPr>
      </w:pPr>
    </w:p>
    <w:p w14:paraId="2B46A70A" w14:textId="73F7E784" w:rsidR="001F30DF" w:rsidRDefault="001F30DF" w:rsidP="001F30DF">
      <w:pPr>
        <w:rPr>
          <w:sz w:val="20"/>
          <w:szCs w:val="20"/>
        </w:rPr>
      </w:pPr>
      <w:r w:rsidRPr="001F30DF">
        <w:rPr>
          <w:sz w:val="20"/>
          <w:szCs w:val="20"/>
        </w:rPr>
        <w:t xml:space="preserve">Imbalance price data were obtained from </w:t>
      </w:r>
      <w:proofErr w:type="spellStart"/>
      <w:r w:rsidRPr="001F30DF">
        <w:rPr>
          <w:sz w:val="20"/>
          <w:szCs w:val="20"/>
        </w:rPr>
        <w:t>Netztransparenz</w:t>
      </w:r>
      <w:proofErr w:type="spellEnd"/>
      <w:r w:rsidRPr="001F30DF">
        <w:rPr>
          <w:sz w:val="20"/>
          <w:szCs w:val="20"/>
        </w:rPr>
        <w:t xml:space="preserve">, using the uniform imbalance price (reBAP) series [6]. Following the harmonisation of imbalance pricing across German transmission system operators after 2010, reBAP provides a consistent system-wide price signal that directly reflects the cost of real-time balancing actions. The price data are reported at a 15-minute resolution, matching the imbalance settlement </w:t>
      </w:r>
      <w:proofErr w:type="spellStart"/>
      <w:proofErr w:type="gramStart"/>
      <w:r w:rsidRPr="001F30DF">
        <w:rPr>
          <w:sz w:val="20"/>
          <w:szCs w:val="20"/>
        </w:rPr>
        <w:t>interval.The</w:t>
      </w:r>
      <w:proofErr w:type="spellEnd"/>
      <w:proofErr w:type="gramEnd"/>
      <w:r w:rsidRPr="001F30DF">
        <w:rPr>
          <w:sz w:val="20"/>
          <w:szCs w:val="20"/>
        </w:rPr>
        <w:t xml:space="preserve"> overlapping period between the two datasets defines the final analysis window from 2012 to 2016.</w:t>
      </w:r>
    </w:p>
    <w:p w14:paraId="3F95DA62" w14:textId="77777777" w:rsidR="001F30DF" w:rsidRPr="001F30DF" w:rsidRDefault="001F30DF" w:rsidP="001F30DF">
      <w:pPr>
        <w:rPr>
          <w:sz w:val="20"/>
          <w:szCs w:val="20"/>
        </w:rPr>
      </w:pPr>
    </w:p>
    <w:p w14:paraId="53C64984" w14:textId="10CAA380" w:rsidR="001F30DF" w:rsidRPr="001F30DF" w:rsidRDefault="001F30DF" w:rsidP="001F30DF">
      <w:pPr>
        <w:rPr>
          <w:sz w:val="20"/>
          <w:szCs w:val="20"/>
        </w:rPr>
      </w:pPr>
      <w:r w:rsidRPr="001F30DF">
        <w:rPr>
          <w:sz w:val="20"/>
          <w:szCs w:val="20"/>
        </w:rPr>
        <w:t>Because the project focuses on frequency micro-signals rather than raw measurements, preprocessing is designed to preserve short-term dynamics while enabling alignment with market data.</w:t>
      </w:r>
      <w:r>
        <w:rPr>
          <w:sz w:val="20"/>
          <w:szCs w:val="20"/>
        </w:rPr>
        <w:t xml:space="preserve"> </w:t>
      </w:r>
      <w:r w:rsidRPr="001F30DF">
        <w:rPr>
          <w:sz w:val="20"/>
          <w:szCs w:val="20"/>
        </w:rPr>
        <w:t>The second-level frequency time series is first cleaned to remove corrupted or missing measurements. Short gaps are handled conservatively by omission rather than interpolation, as interpolating frequency data can</w:t>
      </w:r>
      <w:r>
        <w:rPr>
          <w:sz w:val="20"/>
          <w:szCs w:val="20"/>
        </w:rPr>
        <w:t xml:space="preserve"> </w:t>
      </w:r>
      <w:r w:rsidRPr="001F30DF">
        <w:rPr>
          <w:sz w:val="20"/>
          <w:szCs w:val="20"/>
        </w:rPr>
        <w:t xml:space="preserve">artificially smooth physically meaningful excursions. All frequency-derived features are computed at the second level and then aggregated to 15-minute intervals to match the reBAP settlement period. Aggregation functions are chosen to reflect the physical meaning of each feature class (e.g., maxima for excursions, standard deviation for volatility, and summary statistics for </w:t>
      </w:r>
      <w:proofErr w:type="spellStart"/>
      <w:r w:rsidRPr="001F30DF">
        <w:rPr>
          <w:sz w:val="20"/>
          <w:szCs w:val="20"/>
        </w:rPr>
        <w:t>RoCoF</w:t>
      </w:r>
      <w:proofErr w:type="spellEnd"/>
      <w:r w:rsidRPr="001F30DF">
        <w:rPr>
          <w:sz w:val="20"/>
          <w:szCs w:val="20"/>
        </w:rPr>
        <w:t>).</w:t>
      </w:r>
      <w:r>
        <w:rPr>
          <w:sz w:val="20"/>
          <w:szCs w:val="20"/>
        </w:rPr>
        <w:t xml:space="preserve"> </w:t>
      </w:r>
      <w:r w:rsidRPr="001F30DF">
        <w:rPr>
          <w:sz w:val="20"/>
          <w:szCs w:val="20"/>
        </w:rPr>
        <w:t>Imbalance price data require minimal preprocessing beyond timestamp alignment and consistency checks. Prices are aligned to the same 15-minute intervals used for frequency aggregation, ensuring that all predictive features strictly precede the target variable.</w:t>
      </w:r>
      <w:r>
        <w:rPr>
          <w:sz w:val="20"/>
          <w:szCs w:val="20"/>
        </w:rPr>
        <w:t xml:space="preserve"> </w:t>
      </w:r>
      <w:r w:rsidRPr="001F30DF">
        <w:rPr>
          <w:sz w:val="20"/>
          <w:szCs w:val="20"/>
        </w:rPr>
        <w:t>This alignment strategy enforces a causal structure in which frequency micro-signals represent information available before price realisation.</w:t>
      </w:r>
    </w:p>
    <w:p w14:paraId="162121A1" w14:textId="77777777" w:rsidR="001F30DF" w:rsidRDefault="001F30DF" w:rsidP="001F30DF">
      <w:pPr>
        <w:rPr>
          <w:sz w:val="20"/>
          <w:szCs w:val="20"/>
        </w:rPr>
      </w:pPr>
    </w:p>
    <w:p w14:paraId="6F9CCA1F" w14:textId="48EF0F0C" w:rsidR="001F30DF" w:rsidRPr="001F30DF" w:rsidRDefault="001F30DF" w:rsidP="001F30DF">
      <w:pPr>
        <w:rPr>
          <w:sz w:val="20"/>
          <w:szCs w:val="20"/>
        </w:rPr>
      </w:pPr>
      <w:r w:rsidRPr="001F30DF">
        <w:rPr>
          <w:sz w:val="20"/>
          <w:szCs w:val="20"/>
        </w:rPr>
        <w:t>Two broad classes of input features are constructed:</w:t>
      </w:r>
    </w:p>
    <w:p w14:paraId="6D03042A" w14:textId="77777777" w:rsidR="001F30DF" w:rsidRPr="00F45267" w:rsidRDefault="001F30DF" w:rsidP="00F45267">
      <w:pPr>
        <w:pStyle w:val="ListParagraph"/>
        <w:numPr>
          <w:ilvl w:val="0"/>
          <w:numId w:val="2"/>
        </w:numPr>
        <w:rPr>
          <w:sz w:val="20"/>
          <w:szCs w:val="20"/>
        </w:rPr>
      </w:pPr>
      <w:r w:rsidRPr="00F45267">
        <w:rPr>
          <w:sz w:val="20"/>
          <w:szCs w:val="20"/>
        </w:rPr>
        <w:t>Market-derived baseline features, including price lags and short-term rolling statistics, which capture autocorrelation and known persistence in imbalance prices.</w:t>
      </w:r>
    </w:p>
    <w:p w14:paraId="27C3B7AB" w14:textId="77777777" w:rsidR="001F30DF" w:rsidRPr="00F45267" w:rsidRDefault="001F30DF" w:rsidP="00F45267">
      <w:pPr>
        <w:pStyle w:val="ListParagraph"/>
        <w:numPr>
          <w:ilvl w:val="0"/>
          <w:numId w:val="2"/>
        </w:numPr>
        <w:rPr>
          <w:sz w:val="20"/>
          <w:szCs w:val="20"/>
        </w:rPr>
      </w:pPr>
      <w:r w:rsidRPr="00F45267">
        <w:rPr>
          <w:sz w:val="20"/>
          <w:szCs w:val="20"/>
        </w:rPr>
        <w:t xml:space="preserve">Frequency-derived micro-signals, engineered from second-level frequency measurements and summarised over each 15-minute interval. These include measures of frequency level deviation, </w:t>
      </w:r>
      <w:proofErr w:type="spellStart"/>
      <w:r w:rsidRPr="00F45267">
        <w:rPr>
          <w:sz w:val="20"/>
          <w:szCs w:val="20"/>
        </w:rPr>
        <w:t>RoCoF</w:t>
      </w:r>
      <w:proofErr w:type="spellEnd"/>
      <w:r w:rsidRPr="00F45267">
        <w:rPr>
          <w:sz w:val="20"/>
          <w:szCs w:val="20"/>
        </w:rPr>
        <w:t xml:space="preserve"> intensity, excursion depth, short-term volatility, and recovery behaviour following disturbances.</w:t>
      </w:r>
    </w:p>
    <w:p w14:paraId="1A69F111" w14:textId="77777777" w:rsidR="001F30DF" w:rsidRPr="001F30DF" w:rsidRDefault="001F30DF" w:rsidP="001F30DF">
      <w:pPr>
        <w:rPr>
          <w:sz w:val="20"/>
          <w:szCs w:val="20"/>
        </w:rPr>
      </w:pPr>
      <w:r w:rsidRPr="001F30DF">
        <w:rPr>
          <w:sz w:val="20"/>
          <w:szCs w:val="20"/>
        </w:rPr>
        <w:t>This separation allows direct testing of whether physical micro-signals provide incremental predictive value beyond standard market features.</w:t>
      </w:r>
    </w:p>
    <w:p w14:paraId="5DAE3346" w14:textId="77777777" w:rsidR="00F45267" w:rsidRDefault="00F45267" w:rsidP="001F30DF">
      <w:pPr>
        <w:rPr>
          <w:sz w:val="20"/>
          <w:szCs w:val="20"/>
        </w:rPr>
      </w:pPr>
    </w:p>
    <w:p w14:paraId="64E0E9EF" w14:textId="657B6561" w:rsidR="001F30DF" w:rsidRPr="001F30DF" w:rsidRDefault="001F30DF" w:rsidP="001F30DF">
      <w:pPr>
        <w:rPr>
          <w:sz w:val="20"/>
          <w:szCs w:val="20"/>
        </w:rPr>
      </w:pPr>
      <w:r w:rsidRPr="001F30DF">
        <w:rPr>
          <w:sz w:val="20"/>
          <w:szCs w:val="20"/>
        </w:rPr>
        <w:t>All models are evaluated using strictly time-ordered, multi-year out-of-sample splits. Earlier years are used for training, intermediate periods for validation, and later years for testing. This design reflects real-world forecasting conditions and avoids information leakage that would arise from random or shuffled splits.</w:t>
      </w:r>
      <w:r w:rsidR="00F45267">
        <w:rPr>
          <w:sz w:val="20"/>
          <w:szCs w:val="20"/>
        </w:rPr>
        <w:t xml:space="preserve"> </w:t>
      </w:r>
      <w:r w:rsidRPr="001F30DF">
        <w:rPr>
          <w:sz w:val="20"/>
          <w:szCs w:val="20"/>
        </w:rPr>
        <w:t>The use of multi-year splits also enables assessment of temporal generalisation in a non-stationary market environment, where structural changes in renewable penetration, demand patterns, and system operation may alter price dynamics over time.</w:t>
      </w:r>
    </w:p>
    <w:p w14:paraId="2F5831CE" w14:textId="77777777" w:rsidR="00F45267" w:rsidRDefault="00F45267" w:rsidP="001F30DF">
      <w:pPr>
        <w:rPr>
          <w:sz w:val="20"/>
          <w:szCs w:val="20"/>
        </w:rPr>
      </w:pPr>
    </w:p>
    <w:p w14:paraId="5010175F" w14:textId="7E2DCF15" w:rsidR="001F30DF" w:rsidRPr="001F30DF" w:rsidRDefault="001F30DF" w:rsidP="001F30DF">
      <w:pPr>
        <w:rPr>
          <w:sz w:val="20"/>
          <w:szCs w:val="20"/>
        </w:rPr>
      </w:pPr>
      <w:r w:rsidRPr="001F30DF">
        <w:rPr>
          <w:sz w:val="20"/>
          <w:szCs w:val="20"/>
        </w:rPr>
        <w:t xml:space="preserve">The reBAP price distribution is highly non-Gaussian and strongly heavy-tailed, with </w:t>
      </w:r>
      <w:r w:rsidR="007C3E3F" w:rsidRPr="001F30DF">
        <w:rPr>
          <w:sz w:val="20"/>
          <w:szCs w:val="20"/>
        </w:rPr>
        <w:t>most</w:t>
      </w:r>
      <w:r w:rsidRPr="001F30DF">
        <w:rPr>
          <w:sz w:val="20"/>
          <w:szCs w:val="20"/>
        </w:rPr>
        <w:t xml:space="preserve"> observations concentrated at moderate values and a small number of extreme spikes reaching several thousand euros per megawatt-hour. This imbalance motivates the use of classification and regime-based formulations alongside regression. Frequency-derived features exhibit pronounced intra-day structure and episodic bursts corresponding to system stress events, rather than smooth continuous variation.</w:t>
      </w:r>
    </w:p>
    <w:p w14:paraId="1FCFC6A4" w14:textId="145D8655" w:rsidR="00A56090" w:rsidRDefault="001F30DF" w:rsidP="001F30DF">
      <w:pPr>
        <w:rPr>
          <w:sz w:val="20"/>
          <w:szCs w:val="20"/>
        </w:rPr>
      </w:pPr>
      <w:r w:rsidRPr="001F30DF">
        <w:rPr>
          <w:sz w:val="20"/>
          <w:szCs w:val="20"/>
        </w:rPr>
        <w:t>Summary statistics and distributional plots are referenced in the analysis section to illustrate these characteristics, without embedding extensive figures in this report.</w:t>
      </w:r>
    </w:p>
    <w:p w14:paraId="1A712061" w14:textId="77777777" w:rsidR="00A56090" w:rsidRDefault="00A56090" w:rsidP="00794B86">
      <w:pPr>
        <w:rPr>
          <w:sz w:val="20"/>
          <w:szCs w:val="20"/>
        </w:rPr>
      </w:pPr>
    </w:p>
    <w:p w14:paraId="297AD238" w14:textId="77777777" w:rsidR="00A56090" w:rsidRDefault="00A56090" w:rsidP="00794B86">
      <w:pPr>
        <w:rPr>
          <w:sz w:val="20"/>
          <w:szCs w:val="20"/>
        </w:rPr>
      </w:pPr>
    </w:p>
    <w:p w14:paraId="051AE474" w14:textId="77777777" w:rsidR="00A56090" w:rsidRDefault="00A56090" w:rsidP="00794B86">
      <w:pPr>
        <w:rPr>
          <w:sz w:val="20"/>
          <w:szCs w:val="20"/>
        </w:rPr>
      </w:pPr>
    </w:p>
    <w:p w14:paraId="66B4EC25" w14:textId="77777777" w:rsidR="00A56090" w:rsidRDefault="00A56090" w:rsidP="00794B86">
      <w:pPr>
        <w:rPr>
          <w:sz w:val="20"/>
          <w:szCs w:val="20"/>
        </w:rPr>
      </w:pPr>
    </w:p>
    <w:p w14:paraId="76BA1111" w14:textId="1A4BFFD5" w:rsidR="00A56090" w:rsidRDefault="00A56090" w:rsidP="00794B86">
      <w:pPr>
        <w:rPr>
          <w:b/>
          <w:bCs/>
          <w:sz w:val="20"/>
          <w:szCs w:val="20"/>
        </w:rPr>
      </w:pPr>
      <w:r>
        <w:rPr>
          <w:b/>
          <w:bCs/>
          <w:sz w:val="20"/>
          <w:szCs w:val="20"/>
        </w:rPr>
        <w:t>References:</w:t>
      </w:r>
    </w:p>
    <w:p w14:paraId="201ACE50" w14:textId="77777777" w:rsidR="00A56090" w:rsidRPr="00A56090" w:rsidRDefault="00A56090" w:rsidP="00794B86">
      <w:pPr>
        <w:rPr>
          <w:b/>
          <w:bCs/>
          <w:sz w:val="20"/>
          <w:szCs w:val="20"/>
        </w:rPr>
      </w:pPr>
    </w:p>
    <w:p w14:paraId="43F88D12" w14:textId="556DD973" w:rsidR="00A56090" w:rsidRPr="00A56090" w:rsidRDefault="00A56090" w:rsidP="00A56090">
      <w:pPr>
        <w:rPr>
          <w:sz w:val="20"/>
          <w:szCs w:val="20"/>
        </w:rPr>
      </w:pPr>
      <w:r w:rsidRPr="00A56090">
        <w:rPr>
          <w:sz w:val="20"/>
          <w:szCs w:val="20"/>
        </w:rPr>
        <w:t xml:space="preserve">[1] J. Kruse, B. Schäfer, and D. </w:t>
      </w:r>
      <w:proofErr w:type="spellStart"/>
      <w:r w:rsidRPr="00A56090">
        <w:rPr>
          <w:sz w:val="20"/>
          <w:szCs w:val="20"/>
        </w:rPr>
        <w:t>Witthaut</w:t>
      </w:r>
      <w:proofErr w:type="spellEnd"/>
      <w:r w:rsidRPr="00A56090">
        <w:rPr>
          <w:sz w:val="20"/>
          <w:szCs w:val="20"/>
        </w:rPr>
        <w:t>,</w:t>
      </w:r>
      <w:r>
        <w:rPr>
          <w:sz w:val="20"/>
          <w:szCs w:val="20"/>
        </w:rPr>
        <w:t xml:space="preserve"> </w:t>
      </w:r>
      <w:r w:rsidRPr="00A56090">
        <w:rPr>
          <w:sz w:val="20"/>
          <w:szCs w:val="20"/>
        </w:rPr>
        <w:t>“Predictability of power grid frequency”</w:t>
      </w:r>
      <w:r>
        <w:rPr>
          <w:sz w:val="20"/>
          <w:szCs w:val="20"/>
        </w:rPr>
        <w:t xml:space="preserve">, </w:t>
      </w:r>
      <w:r w:rsidRPr="00A56090">
        <w:rPr>
          <w:sz w:val="20"/>
          <w:szCs w:val="20"/>
        </w:rPr>
        <w:t>IEEE Access, vol. 8, pp. 149435–149449, 2020.</w:t>
      </w:r>
    </w:p>
    <w:p w14:paraId="3148C12F" w14:textId="77777777" w:rsidR="00A56090" w:rsidRPr="00A56090" w:rsidRDefault="00A56090" w:rsidP="00A56090">
      <w:pPr>
        <w:rPr>
          <w:sz w:val="20"/>
          <w:szCs w:val="20"/>
        </w:rPr>
      </w:pPr>
    </w:p>
    <w:p w14:paraId="290E5324" w14:textId="476F73C5" w:rsidR="00A56090" w:rsidRPr="00A56090" w:rsidRDefault="00A56090" w:rsidP="00A56090">
      <w:pPr>
        <w:rPr>
          <w:sz w:val="20"/>
          <w:szCs w:val="20"/>
        </w:rPr>
      </w:pPr>
      <w:r w:rsidRPr="00A56090">
        <w:rPr>
          <w:sz w:val="20"/>
          <w:szCs w:val="20"/>
        </w:rPr>
        <w:lastRenderedPageBreak/>
        <w:t>[2] W. Sai, Z. Pan, S. Liu, Z. Jiao, Z. Zhong, B. Miao, and S. H. Chan,</w:t>
      </w:r>
      <w:r>
        <w:rPr>
          <w:sz w:val="20"/>
          <w:szCs w:val="20"/>
        </w:rPr>
        <w:t xml:space="preserve"> </w:t>
      </w:r>
      <w:r w:rsidRPr="00A56090">
        <w:rPr>
          <w:sz w:val="20"/>
          <w:szCs w:val="20"/>
        </w:rPr>
        <w:t>“Event-driven forecasting of wholesale</w:t>
      </w:r>
      <w:r>
        <w:rPr>
          <w:sz w:val="20"/>
          <w:szCs w:val="20"/>
        </w:rPr>
        <w:t xml:space="preserve"> </w:t>
      </w:r>
      <w:r w:rsidRPr="00A56090">
        <w:rPr>
          <w:sz w:val="20"/>
          <w:szCs w:val="20"/>
        </w:rPr>
        <w:t>electricity price and frequency regulation price using machine learning algorithms”</w:t>
      </w:r>
      <w:r>
        <w:rPr>
          <w:sz w:val="20"/>
          <w:szCs w:val="20"/>
        </w:rPr>
        <w:t xml:space="preserve">, </w:t>
      </w:r>
      <w:r w:rsidRPr="00A56090">
        <w:rPr>
          <w:sz w:val="20"/>
          <w:szCs w:val="20"/>
        </w:rPr>
        <w:t>Applied Energy, vol. 352, p. 121989, 2023.</w:t>
      </w:r>
    </w:p>
    <w:p w14:paraId="25985D3A" w14:textId="77777777" w:rsidR="00A56090" w:rsidRPr="00A56090" w:rsidRDefault="00A56090" w:rsidP="00A56090">
      <w:pPr>
        <w:rPr>
          <w:sz w:val="20"/>
          <w:szCs w:val="20"/>
        </w:rPr>
      </w:pPr>
    </w:p>
    <w:p w14:paraId="27E379AC" w14:textId="22E1625B" w:rsidR="00A56090" w:rsidRPr="00A56090" w:rsidRDefault="00A56090" w:rsidP="00A56090">
      <w:pPr>
        <w:rPr>
          <w:sz w:val="20"/>
          <w:szCs w:val="20"/>
        </w:rPr>
      </w:pPr>
      <w:r w:rsidRPr="00A56090">
        <w:rPr>
          <w:sz w:val="20"/>
          <w:szCs w:val="20"/>
        </w:rPr>
        <w:t>[3] K. Wang, C. Xu, Y. Zhang, S. Guo, and A. Y. Zomaya,</w:t>
      </w:r>
      <w:r>
        <w:rPr>
          <w:sz w:val="20"/>
          <w:szCs w:val="20"/>
        </w:rPr>
        <w:t xml:space="preserve"> </w:t>
      </w:r>
      <w:r w:rsidRPr="00A56090">
        <w:rPr>
          <w:sz w:val="20"/>
          <w:szCs w:val="20"/>
        </w:rPr>
        <w:t>“Robust big data analytics for electricity price forecasting in the smart grid”</w:t>
      </w:r>
      <w:r>
        <w:rPr>
          <w:sz w:val="20"/>
          <w:szCs w:val="20"/>
        </w:rPr>
        <w:t xml:space="preserve">, </w:t>
      </w:r>
      <w:r w:rsidRPr="00A56090">
        <w:rPr>
          <w:sz w:val="20"/>
          <w:szCs w:val="20"/>
        </w:rPr>
        <w:t>IEEE Transactions on Big Data, vol. 5, no. 1, pp. 34–47, 2019.</w:t>
      </w:r>
    </w:p>
    <w:p w14:paraId="5CBF79C0" w14:textId="77777777" w:rsidR="00A56090" w:rsidRPr="00A56090" w:rsidRDefault="00A56090" w:rsidP="00A56090">
      <w:pPr>
        <w:rPr>
          <w:sz w:val="20"/>
          <w:szCs w:val="20"/>
        </w:rPr>
      </w:pPr>
    </w:p>
    <w:p w14:paraId="0C49B39B" w14:textId="22F3E89E" w:rsidR="00A56090" w:rsidRPr="00A56090" w:rsidRDefault="00A56090" w:rsidP="00A56090">
      <w:pPr>
        <w:rPr>
          <w:sz w:val="20"/>
          <w:szCs w:val="20"/>
        </w:rPr>
      </w:pPr>
      <w:r w:rsidRPr="00A56090">
        <w:rPr>
          <w:sz w:val="20"/>
          <w:szCs w:val="20"/>
        </w:rPr>
        <w:t>[4] C. Zhang, Y. Fu, and L. Gong, “Short-term electricity price forecast using frequency analysis and price spikes oversampling”</w:t>
      </w:r>
      <w:r>
        <w:rPr>
          <w:sz w:val="20"/>
          <w:szCs w:val="20"/>
        </w:rPr>
        <w:t xml:space="preserve">, </w:t>
      </w:r>
      <w:r w:rsidRPr="00A56090">
        <w:rPr>
          <w:sz w:val="20"/>
          <w:szCs w:val="20"/>
        </w:rPr>
        <w:t>IEEE Transactions on Power Systems, vol. 38, no. 5, pp. 4739–4753, 2023.</w:t>
      </w:r>
    </w:p>
    <w:p w14:paraId="027C04AC" w14:textId="77777777" w:rsidR="00A56090" w:rsidRPr="00A56090" w:rsidRDefault="00A56090" w:rsidP="00A56090">
      <w:pPr>
        <w:rPr>
          <w:sz w:val="20"/>
          <w:szCs w:val="20"/>
        </w:rPr>
      </w:pPr>
    </w:p>
    <w:p w14:paraId="22B38D84" w14:textId="4ADF4C86" w:rsidR="00A56090" w:rsidRPr="00A56090" w:rsidRDefault="00A56090" w:rsidP="00A56090">
      <w:pPr>
        <w:rPr>
          <w:sz w:val="20"/>
          <w:szCs w:val="20"/>
        </w:rPr>
      </w:pPr>
      <w:r w:rsidRPr="00A56090">
        <w:rPr>
          <w:sz w:val="20"/>
          <w:szCs w:val="20"/>
        </w:rPr>
        <w:t>[5] Power Grid Frequency Database,</w:t>
      </w:r>
      <w:r>
        <w:rPr>
          <w:sz w:val="20"/>
          <w:szCs w:val="20"/>
        </w:rPr>
        <w:t xml:space="preserve"> </w:t>
      </w:r>
      <w:r w:rsidRPr="00A56090">
        <w:rPr>
          <w:sz w:val="20"/>
          <w:szCs w:val="20"/>
        </w:rPr>
        <w:t>“European power grid frequency measurements”</w:t>
      </w:r>
      <w:r>
        <w:rPr>
          <w:sz w:val="20"/>
          <w:szCs w:val="20"/>
        </w:rPr>
        <w:t xml:space="preserve">, </w:t>
      </w:r>
      <w:r w:rsidRPr="00A56090">
        <w:rPr>
          <w:sz w:val="20"/>
          <w:szCs w:val="20"/>
        </w:rPr>
        <w:t>https://power-grid-frequency.org/database/</w:t>
      </w:r>
    </w:p>
    <w:p w14:paraId="5D48D851" w14:textId="77777777" w:rsidR="00A56090" w:rsidRPr="00A56090" w:rsidRDefault="00A56090" w:rsidP="00A56090">
      <w:pPr>
        <w:rPr>
          <w:sz w:val="20"/>
          <w:szCs w:val="20"/>
        </w:rPr>
      </w:pPr>
    </w:p>
    <w:p w14:paraId="018CEE40" w14:textId="7B5D4069" w:rsidR="00A56090" w:rsidRPr="00A56090" w:rsidRDefault="00A56090" w:rsidP="00A56090">
      <w:pPr>
        <w:rPr>
          <w:sz w:val="20"/>
          <w:szCs w:val="20"/>
        </w:rPr>
      </w:pPr>
      <w:r w:rsidRPr="00A56090">
        <w:rPr>
          <w:sz w:val="20"/>
          <w:szCs w:val="20"/>
        </w:rPr>
        <w:t xml:space="preserve">[6] </w:t>
      </w:r>
      <w:proofErr w:type="spellStart"/>
      <w:r w:rsidRPr="00A56090">
        <w:rPr>
          <w:sz w:val="20"/>
          <w:szCs w:val="20"/>
        </w:rPr>
        <w:t>Netztransparenz</w:t>
      </w:r>
      <w:proofErr w:type="spellEnd"/>
      <w:r w:rsidRPr="00A56090">
        <w:rPr>
          <w:sz w:val="20"/>
          <w:szCs w:val="20"/>
        </w:rPr>
        <w:t>,</w:t>
      </w:r>
      <w:r w:rsidR="00084F9E">
        <w:rPr>
          <w:sz w:val="20"/>
          <w:szCs w:val="20"/>
        </w:rPr>
        <w:t xml:space="preserve"> </w:t>
      </w:r>
      <w:r w:rsidRPr="00A56090">
        <w:rPr>
          <w:sz w:val="20"/>
          <w:szCs w:val="20"/>
        </w:rPr>
        <w:t>“Uniform imbalance price (reBAP)”</w:t>
      </w:r>
      <w:r w:rsidR="00084F9E">
        <w:rPr>
          <w:sz w:val="20"/>
          <w:szCs w:val="20"/>
        </w:rPr>
        <w:t xml:space="preserve">,  </w:t>
      </w:r>
      <w:hyperlink r:id="rId5" w:history="1">
        <w:r w:rsidR="00084F9E" w:rsidRPr="00327A17">
          <w:rPr>
            <w:rStyle w:val="Hyperlink"/>
            <w:sz w:val="20"/>
            <w:szCs w:val="20"/>
          </w:rPr>
          <w:t>https://www.netztransparenz.de/en/Balancing-Capacity/Imbalance-price/Uniform-imbalance-price-reBAP</w:t>
        </w:r>
      </w:hyperlink>
    </w:p>
    <w:sectPr w:rsidR="00A56090" w:rsidRPr="00A560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34202"/>
    <w:multiLevelType w:val="hybridMultilevel"/>
    <w:tmpl w:val="A546DE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624655"/>
    <w:multiLevelType w:val="hybridMultilevel"/>
    <w:tmpl w:val="DA3A90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8173256">
    <w:abstractNumId w:val="1"/>
  </w:num>
  <w:num w:numId="2" w16cid:durableId="130411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892"/>
    <w:rsid w:val="00031624"/>
    <w:rsid w:val="00084F9E"/>
    <w:rsid w:val="00101B9A"/>
    <w:rsid w:val="001F30DF"/>
    <w:rsid w:val="00412799"/>
    <w:rsid w:val="00606892"/>
    <w:rsid w:val="00794B86"/>
    <w:rsid w:val="007C3E3F"/>
    <w:rsid w:val="008454F4"/>
    <w:rsid w:val="00A56090"/>
    <w:rsid w:val="00D50244"/>
    <w:rsid w:val="00F45267"/>
    <w:rsid w:val="00FF4A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AE37F2"/>
  <w15:chartTrackingRefBased/>
  <w15:docId w15:val="{57A6EEA0-6E97-234F-9A93-C2D10C62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8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8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8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8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892"/>
    <w:rPr>
      <w:rFonts w:eastAsiaTheme="majorEastAsia" w:cstheme="majorBidi"/>
      <w:color w:val="272727" w:themeColor="text1" w:themeTint="D8"/>
    </w:rPr>
  </w:style>
  <w:style w:type="paragraph" w:styleId="Title">
    <w:name w:val="Title"/>
    <w:basedOn w:val="Normal"/>
    <w:next w:val="Normal"/>
    <w:link w:val="TitleChar"/>
    <w:uiPriority w:val="10"/>
    <w:qFormat/>
    <w:rsid w:val="006068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8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8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6892"/>
    <w:rPr>
      <w:i/>
      <w:iCs/>
      <w:color w:val="404040" w:themeColor="text1" w:themeTint="BF"/>
    </w:rPr>
  </w:style>
  <w:style w:type="paragraph" w:styleId="ListParagraph">
    <w:name w:val="List Paragraph"/>
    <w:basedOn w:val="Normal"/>
    <w:uiPriority w:val="34"/>
    <w:qFormat/>
    <w:rsid w:val="00606892"/>
    <w:pPr>
      <w:ind w:left="720"/>
      <w:contextualSpacing/>
    </w:pPr>
  </w:style>
  <w:style w:type="character" w:styleId="IntenseEmphasis">
    <w:name w:val="Intense Emphasis"/>
    <w:basedOn w:val="DefaultParagraphFont"/>
    <w:uiPriority w:val="21"/>
    <w:qFormat/>
    <w:rsid w:val="00606892"/>
    <w:rPr>
      <w:i/>
      <w:iCs/>
      <w:color w:val="0F4761" w:themeColor="accent1" w:themeShade="BF"/>
    </w:rPr>
  </w:style>
  <w:style w:type="paragraph" w:styleId="IntenseQuote">
    <w:name w:val="Intense Quote"/>
    <w:basedOn w:val="Normal"/>
    <w:next w:val="Normal"/>
    <w:link w:val="IntenseQuoteChar"/>
    <w:uiPriority w:val="30"/>
    <w:qFormat/>
    <w:rsid w:val="0060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892"/>
    <w:rPr>
      <w:i/>
      <w:iCs/>
      <w:color w:val="0F4761" w:themeColor="accent1" w:themeShade="BF"/>
    </w:rPr>
  </w:style>
  <w:style w:type="character" w:styleId="IntenseReference">
    <w:name w:val="Intense Reference"/>
    <w:basedOn w:val="DefaultParagraphFont"/>
    <w:uiPriority w:val="32"/>
    <w:qFormat/>
    <w:rsid w:val="00606892"/>
    <w:rPr>
      <w:b/>
      <w:bCs/>
      <w:smallCaps/>
      <w:color w:val="0F4761" w:themeColor="accent1" w:themeShade="BF"/>
      <w:spacing w:val="5"/>
    </w:rPr>
  </w:style>
  <w:style w:type="character" w:styleId="Hyperlink">
    <w:name w:val="Hyperlink"/>
    <w:basedOn w:val="DefaultParagraphFont"/>
    <w:uiPriority w:val="99"/>
    <w:unhideWhenUsed/>
    <w:rsid w:val="00084F9E"/>
    <w:rPr>
      <w:color w:val="467886" w:themeColor="hyperlink"/>
      <w:u w:val="single"/>
    </w:rPr>
  </w:style>
  <w:style w:type="character" w:styleId="UnresolvedMention">
    <w:name w:val="Unresolved Mention"/>
    <w:basedOn w:val="DefaultParagraphFont"/>
    <w:uiPriority w:val="99"/>
    <w:semiHidden/>
    <w:unhideWhenUsed/>
    <w:rsid w:val="00084F9E"/>
    <w:rPr>
      <w:color w:val="605E5C"/>
      <w:shd w:val="clear" w:color="auto" w:fill="E1DFDD"/>
    </w:rPr>
  </w:style>
  <w:style w:type="character" w:styleId="FollowedHyperlink">
    <w:name w:val="FollowedHyperlink"/>
    <w:basedOn w:val="DefaultParagraphFont"/>
    <w:uiPriority w:val="99"/>
    <w:semiHidden/>
    <w:unhideWhenUsed/>
    <w:rsid w:val="007C3E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etztransparenz.de/en/Balancing-Capacity/Imbalance-price/Uniform-imbalance-price-reBA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2666</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Fernandes (BSc Computer Sci w Ind Year FT)</dc:creator>
  <cp:keywords/>
  <dc:description/>
  <cp:lastModifiedBy>Diogo Fernandes (BSc Computer Sci w Ind Year FT)</cp:lastModifiedBy>
  <cp:revision>2</cp:revision>
  <dcterms:created xsi:type="dcterms:W3CDTF">2026-02-02T20:32:00Z</dcterms:created>
  <dcterms:modified xsi:type="dcterms:W3CDTF">2026-02-10T14:30:00Z</dcterms:modified>
</cp:coreProperties>
</file>