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B855D3" w14:textId="77777777" w:rsidR="00D60667" w:rsidRPr="00E23A38" w:rsidRDefault="00D60667" w:rsidP="00472C6C">
      <w:pPr>
        <w:spacing w:before="200" w:after="160" w:line="216" w:lineRule="auto"/>
        <w:rPr>
          <w:rFonts w:asciiTheme="minorHAnsi" w:hAnsiTheme="minorHAnsi"/>
          <w:sz w:val="20"/>
          <w:szCs w:val="20"/>
        </w:rPr>
      </w:pPr>
      <w:r w:rsidRPr="00E23A38">
        <w:rPr>
          <w:rFonts w:asciiTheme="minorHAnsi" w:hAnsiTheme="minorHAnsi"/>
          <w:b/>
          <w:bCs/>
          <w:color w:val="1F4E79"/>
          <w:sz w:val="20"/>
          <w:szCs w:val="20"/>
        </w:rPr>
        <w:t>Predicting German Imbalance Price Spikes and Volatility</w:t>
      </w:r>
    </w:p>
    <w:p w14:paraId="03C157FF" w14:textId="77777777" w:rsidR="00D60667" w:rsidRPr="00E23A38" w:rsidRDefault="00D60667" w:rsidP="00472C6C">
      <w:pPr>
        <w:spacing w:after="300" w:line="216" w:lineRule="auto"/>
        <w:rPr>
          <w:rFonts w:asciiTheme="minorHAnsi" w:hAnsiTheme="minorHAnsi"/>
          <w:sz w:val="20"/>
          <w:szCs w:val="20"/>
        </w:rPr>
      </w:pPr>
      <w:r w:rsidRPr="00E23A38">
        <w:rPr>
          <w:rFonts w:asciiTheme="minorHAnsi" w:hAnsiTheme="minorHAnsi"/>
          <w:color w:val="2E75B6"/>
          <w:sz w:val="20"/>
          <w:szCs w:val="20"/>
        </w:rPr>
        <w:t>Using Grid Frequency-Derived Micro-Signals</w:t>
      </w:r>
    </w:p>
    <w:p w14:paraId="2B598B09" w14:textId="77777777" w:rsidR="00D60667" w:rsidRPr="00E23A38" w:rsidRDefault="00D60667" w:rsidP="00472C6C">
      <w:pPr>
        <w:spacing w:line="216" w:lineRule="auto"/>
        <w:rPr>
          <w:rFonts w:asciiTheme="minorHAnsi" w:hAnsiTheme="minorHAnsi"/>
          <w:sz w:val="20"/>
          <w:szCs w:val="20"/>
        </w:rPr>
      </w:pPr>
      <w:r w:rsidRPr="00E23A38">
        <w:rPr>
          <w:rFonts w:asciiTheme="minorHAnsi" w:hAnsiTheme="minorHAnsi"/>
          <w:b/>
          <w:bCs/>
          <w:sz w:val="20"/>
          <w:szCs w:val="20"/>
        </w:rPr>
        <w:t>Diogo Fernandes</w:t>
      </w:r>
    </w:p>
    <w:p w14:paraId="253790FE" w14:textId="77777777" w:rsidR="00D60667" w:rsidRPr="00E23A38" w:rsidRDefault="00D60667" w:rsidP="00472C6C">
      <w:pPr>
        <w:spacing w:after="600" w:line="216" w:lineRule="auto"/>
        <w:rPr>
          <w:rFonts w:asciiTheme="minorHAnsi" w:hAnsiTheme="minorHAnsi"/>
          <w:sz w:val="20"/>
          <w:szCs w:val="20"/>
        </w:rPr>
      </w:pPr>
      <w:r w:rsidRPr="00E23A38">
        <w:rPr>
          <w:rFonts w:asciiTheme="minorHAnsi" w:hAnsiTheme="minorHAnsi"/>
          <w:color w:val="666666"/>
          <w:sz w:val="20"/>
          <w:szCs w:val="20"/>
        </w:rPr>
        <w:t>Supervisor: Daniele Giunchi | BSc Computer Science Project</w:t>
      </w:r>
    </w:p>
    <w:p w14:paraId="5FC22701" w14:textId="77777777" w:rsidR="00D60667" w:rsidRPr="00E23A38" w:rsidRDefault="00D60667" w:rsidP="00472C6C">
      <w:pPr>
        <w:pStyle w:val="Heading1"/>
        <w:pBdr>
          <w:bottom w:val="single" w:sz="6" w:space="4" w:color="2E75B6"/>
        </w:pBdr>
        <w:spacing w:line="216" w:lineRule="auto"/>
        <w:rPr>
          <w:rFonts w:asciiTheme="minorHAnsi" w:hAnsiTheme="minorHAnsi"/>
          <w:sz w:val="20"/>
          <w:szCs w:val="20"/>
        </w:rPr>
      </w:pPr>
      <w:r w:rsidRPr="00E23A38">
        <w:rPr>
          <w:rFonts w:asciiTheme="minorHAnsi" w:hAnsiTheme="minorHAnsi"/>
          <w:sz w:val="20"/>
          <w:szCs w:val="20"/>
        </w:rPr>
        <w:t>1. Introduction and Motivation</w:t>
      </w:r>
    </w:p>
    <w:p w14:paraId="365F3D30"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 xml:space="preserve">The prices for restoring the balance between supply and demand in the electricity system are captured by the reBAP in Germany, which represents the average cost of activated balancing energy across all control areas within a given settlement period. These prices reflect the realised cost of correcting system imbalances and therefore serve as a direct measure of balancing system stress. Empirically, reBAP prices exhibit a heavy-tailed distribution, with occasional extreme spikes reaching several thousand euros per megawatt hour. Due to this behaviour, system operators and market participants seek to forecast these prices in advance to better manage imbalance exposure and reduce the need for costly balancing actions.  </w:t>
      </w:r>
    </w:p>
    <w:p w14:paraId="7EBB1C85"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Most existing approaches to electricity price forecasting rely primarily on market-derived inputs such as historical prices, demand, reserve conditions, and related statistical features. Across the literature, these methods span classical econometric models, machine learning models, deep learning models, and hybrid approaches that combine decomposition and nonlinear prediction architectures. These methods can achieve strong predictive performance, particularly for normal market conditions, but forecasting rare spikes remains difficult because electricity prices are highly volatile, strongly non-linear, and shaped by both technical and economic factors. Recent work on spike forecasting also shows that extreme events often need to be treated as a separate prediction problem, with explicit threshold design and specialised evaluation methods [2], [3], [8], [9], [10], [11].</w:t>
      </w:r>
    </w:p>
    <w:p w14:paraId="6B422275"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This motivates the use of grid frequency as an additional signal rather than a replacement for market-based forecasting. Grid frequency is the central observable of power system control because it reflects the real-time balance between generation and demand: oversupply causes frequency to rise, while shortage causes it to fall. Large deviations correspond to large power imbalances and increased control effort. Since reBAP is the ex post economic outcome of balancing actions, frequency may contain physically meaningful information about system stress before it is fully expressed in the published imbalance price. The motivation for this project is therefore not that existing forecasting methods are unusable, but that they are mostly driven by market-side information, whereas frequency offers a complementary system-state signal that may be particularly valuable for spike events and volatility shifts [1], [7].</w:t>
      </w:r>
    </w:p>
    <w:p w14:paraId="6330E45A"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Although this study focuses on interpretable engineered frequency micro-signals and tree-based tabular models, the wider literature includes hybrid approaches that combine decomposition methods and deep learning architectures to better capture non-stationary and multi-scale price dynamics. Such hybrid models were not adopted here because the objective was to isolate and evaluate the incremental value of frequency-derived features rather than maximise predictive accuracy through a more complex architecture. A natural direction for future work would therefore be to combine the proposed frequency micro-signals with hybrid decomposition-based or deep learning forecasting models [8], [9].</w:t>
      </w:r>
      <w:r w:rsidRPr="00E23A38">
        <w:rPr>
          <w:rFonts w:asciiTheme="minorHAnsi" w:hAnsiTheme="minorHAnsi"/>
          <w:sz w:val="20"/>
          <w:szCs w:val="20"/>
        </w:rPr>
        <w:br/>
      </w:r>
      <w:r w:rsidRPr="00E23A38">
        <w:rPr>
          <w:rFonts w:asciiTheme="minorHAnsi" w:hAnsiTheme="minorHAnsi"/>
          <w:sz w:val="20"/>
          <w:szCs w:val="20"/>
        </w:rPr>
        <w:br/>
        <w:t>However, reserve activation is not the only determinant of reBAP, and the relationship is not mechanically one-to-one. The published imbalance price reflects the settlement design and cost allocation mechanism of the balancing market, so frequency should be viewed as an informative physical signal of system stress rather than a direct proxy for the final price [6].</w:t>
      </w:r>
      <w:r w:rsidRPr="00E23A38">
        <w:rPr>
          <w:rFonts w:asciiTheme="minorHAnsi" w:hAnsiTheme="minorHAnsi"/>
          <w:sz w:val="20"/>
          <w:szCs w:val="20"/>
        </w:rPr>
        <w:br/>
      </w: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838"/>
      </w:tblGrid>
      <w:tr w:rsidR="00D60667" w:rsidRPr="00E23A38" w14:paraId="04B309DE" w14:textId="77777777" w:rsidTr="0001101B">
        <w:trPr>
          <w:trHeight w:val="1079"/>
        </w:trPr>
        <w:tc>
          <w:tcPr>
            <w:tcW w:w="8838" w:type="dxa"/>
            <w:tcBorders>
              <w:top w:val="single" w:sz="4" w:space="0" w:color="A7C6F1"/>
              <w:left w:val="single" w:sz="4" w:space="0" w:color="A7C6F1"/>
              <w:bottom w:val="single" w:sz="4" w:space="0" w:color="A7C6F1"/>
              <w:right w:val="single" w:sz="4" w:space="0" w:color="A7C6F1"/>
            </w:tcBorders>
            <w:shd w:val="clear" w:color="auto" w:fill="D6E4F0"/>
            <w:tcMar>
              <w:top w:w="120" w:type="dxa"/>
              <w:left w:w="180" w:type="dxa"/>
              <w:bottom w:w="120" w:type="dxa"/>
              <w:right w:w="120" w:type="dxa"/>
            </w:tcMar>
          </w:tcPr>
          <w:p w14:paraId="65B548A7" w14:textId="77777777" w:rsidR="00D60667" w:rsidRPr="00E23A38" w:rsidRDefault="00D60667" w:rsidP="00472C6C">
            <w:pPr>
              <w:spacing w:line="216" w:lineRule="auto"/>
              <w:rPr>
                <w:rFonts w:asciiTheme="minorHAnsi" w:hAnsiTheme="minorHAnsi"/>
                <w:sz w:val="20"/>
                <w:szCs w:val="20"/>
              </w:rPr>
            </w:pPr>
            <w:r w:rsidRPr="00E23A38">
              <w:rPr>
                <w:rFonts w:asciiTheme="minorHAnsi" w:hAnsiTheme="minorHAnsi"/>
                <w:sz w:val="20"/>
                <w:szCs w:val="20"/>
              </w:rPr>
              <w:t>Research question: do engineered micro-signals derived from high-frequency grid frequency measurements provide additional predictive information for German imbalance prices beyond standard market features?</w:t>
            </w:r>
          </w:p>
          <w:p w14:paraId="76B12773" w14:textId="77777777" w:rsidR="00D60667" w:rsidRPr="00E23A38" w:rsidRDefault="00D60667" w:rsidP="00472C6C">
            <w:pPr>
              <w:spacing w:line="216" w:lineRule="auto"/>
              <w:rPr>
                <w:rFonts w:asciiTheme="minorHAnsi" w:hAnsiTheme="minorHAnsi"/>
                <w:sz w:val="20"/>
                <w:szCs w:val="20"/>
              </w:rPr>
            </w:pPr>
          </w:p>
          <w:p w14:paraId="05435F7E" w14:textId="77777777" w:rsidR="00D60667" w:rsidRPr="00E23A38" w:rsidRDefault="00D60667" w:rsidP="00472C6C">
            <w:pPr>
              <w:spacing w:line="216" w:lineRule="auto"/>
              <w:rPr>
                <w:rFonts w:asciiTheme="minorHAnsi" w:hAnsiTheme="minorHAnsi"/>
                <w:sz w:val="20"/>
                <w:szCs w:val="20"/>
              </w:rPr>
            </w:pPr>
            <w:r w:rsidRPr="00E23A38">
              <w:rPr>
                <w:rFonts w:asciiTheme="minorHAnsi" w:hAnsiTheme="minorHAnsi"/>
                <w:sz w:val="20"/>
                <w:szCs w:val="20"/>
              </w:rPr>
              <w:t>To evaluate this, the following hypotheses are tested. First, frequency-derived micro-signals, including rate-of-change of frequency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xml:space="preserve">), excursion depth, short-term volatility, and recovery </w:t>
            </w:r>
            <w:r w:rsidRPr="00E23A38">
              <w:rPr>
                <w:rFonts w:asciiTheme="minorHAnsi" w:hAnsiTheme="minorHAnsi"/>
                <w:sz w:val="20"/>
                <w:szCs w:val="20"/>
              </w:rPr>
              <w:lastRenderedPageBreak/>
              <w:t>dynamics, improve the prediction of imbalance price levels relative to models using only market-based inputs. Second, these micro-signals provide incremental predictive power for extreme price events, where conventional models typically struggle due to the heavy-tailed nature of the distribution. Third, frequency derived features improve the identification of volatility regime shifts, indicating that grid-level dynamics contain early signals of system stress not captured by market data alone.</w:t>
            </w:r>
          </w:p>
        </w:tc>
      </w:tr>
    </w:tbl>
    <w:p w14:paraId="638E39C0" w14:textId="77777777" w:rsidR="00D60667" w:rsidRPr="00E23A38" w:rsidRDefault="00D60667" w:rsidP="00472C6C">
      <w:pPr>
        <w:spacing w:before="60" w:after="60" w:line="216" w:lineRule="auto"/>
        <w:rPr>
          <w:rFonts w:asciiTheme="minorHAnsi" w:hAnsiTheme="minorHAnsi"/>
          <w:sz w:val="20"/>
          <w:szCs w:val="20"/>
        </w:rPr>
      </w:pPr>
    </w:p>
    <w:p w14:paraId="624A6C1D" w14:textId="77777777" w:rsidR="00D60667" w:rsidRPr="00E23A38" w:rsidRDefault="00D60667" w:rsidP="00472C6C">
      <w:pPr>
        <w:spacing w:before="60" w:after="60" w:line="216" w:lineRule="auto"/>
        <w:rPr>
          <w:rFonts w:asciiTheme="minorHAnsi" w:hAnsiTheme="minorHAnsi"/>
          <w:sz w:val="20"/>
          <w:szCs w:val="20"/>
        </w:rPr>
      </w:pPr>
      <w:r w:rsidRPr="00E23A38">
        <w:rPr>
          <w:rFonts w:asciiTheme="minorHAnsi" w:hAnsiTheme="minorHAnsi"/>
          <w:sz w:val="20"/>
          <w:szCs w:val="20"/>
        </w:rPr>
        <w:t xml:space="preserve">This project aims to verify this hypothesis in a controlled manner by developing a set of physically interpretable frequency micro-signals given one second resolution measurements. It then aligns the signals to 15-minute market intervals to assess their predictive power on next interval price regression, next interval returns regression, price spike classification, binary return volatility spike classification, and volatility regime prediction. Time ordered evaluation is used to perform all the experiments. </w:t>
      </w:r>
    </w:p>
    <w:p w14:paraId="5C228DEB" w14:textId="77777777" w:rsidR="00D60667" w:rsidRDefault="00D60667" w:rsidP="00472C6C">
      <w:pPr>
        <w:spacing w:before="60" w:after="60" w:line="216" w:lineRule="auto"/>
        <w:rPr>
          <w:rFonts w:asciiTheme="minorHAnsi" w:hAnsiTheme="minorHAnsi"/>
          <w:sz w:val="20"/>
          <w:szCs w:val="20"/>
        </w:rPr>
      </w:pPr>
    </w:p>
    <w:p w14:paraId="34AB541A" w14:textId="77777777" w:rsidR="00D60667" w:rsidRPr="00E23A38" w:rsidRDefault="00D60667" w:rsidP="00472C6C">
      <w:pPr>
        <w:spacing w:before="60" w:after="60" w:line="216" w:lineRule="auto"/>
        <w:rPr>
          <w:rFonts w:asciiTheme="minorHAnsi" w:hAnsiTheme="minorHAnsi"/>
          <w:sz w:val="20"/>
          <w:szCs w:val="20"/>
        </w:rPr>
      </w:pPr>
      <w:r w:rsidRPr="00E23A38">
        <w:rPr>
          <w:rFonts w:asciiTheme="minorHAnsi" w:hAnsiTheme="minorHAnsi"/>
          <w:sz w:val="20"/>
          <w:szCs w:val="20"/>
        </w:rPr>
        <w:t>The project makes two significant contributions to the existing body of knowledge in this area. Firstly, it proposes a novel feature engineering methodology to transform second resolution frequency measurements into physically interpretable micro-signals aligned to the 15-minute market intervals. Secondly, it proposes a rigorous multi-task evaluation of the signals to assess their additional predictive power over a market-only baseline.</w:t>
      </w:r>
    </w:p>
    <w:p w14:paraId="2BC63A38" w14:textId="77777777" w:rsidR="00D60667" w:rsidRPr="00E23A38" w:rsidRDefault="00D60667" w:rsidP="00472C6C">
      <w:pPr>
        <w:pStyle w:val="Heading1"/>
        <w:pBdr>
          <w:bottom w:val="single" w:sz="6" w:space="4" w:color="2E75B6"/>
        </w:pBdr>
        <w:spacing w:line="216" w:lineRule="auto"/>
        <w:rPr>
          <w:rFonts w:asciiTheme="minorHAnsi" w:hAnsiTheme="minorHAnsi"/>
          <w:sz w:val="20"/>
          <w:szCs w:val="20"/>
        </w:rPr>
      </w:pPr>
      <w:r w:rsidRPr="00E23A38">
        <w:rPr>
          <w:rFonts w:asciiTheme="minorHAnsi" w:hAnsiTheme="minorHAnsi"/>
          <w:sz w:val="20"/>
          <w:szCs w:val="20"/>
        </w:rPr>
        <w:t>2. Related Work</w:t>
      </w:r>
    </w:p>
    <w:p w14:paraId="6EB448D6"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As discussed above, imbalance prices arise from the activation of balancing reserves used to correct deviations between electricity supply and demand. In Germany, reBAP is the uniform imbalance price published on an </w:t>
      </w:r>
      <w:proofErr w:type="gramStart"/>
      <w:r w:rsidRPr="00E23A38">
        <w:rPr>
          <w:rFonts w:asciiTheme="minorHAnsi" w:hAnsiTheme="minorHAnsi"/>
          <w:sz w:val="20"/>
          <w:szCs w:val="20"/>
        </w:rPr>
        <w:t>ex post</w:t>
      </w:r>
      <w:proofErr w:type="gramEnd"/>
      <w:r w:rsidRPr="00E23A38">
        <w:rPr>
          <w:rFonts w:asciiTheme="minorHAnsi" w:hAnsiTheme="minorHAnsi"/>
          <w:sz w:val="20"/>
          <w:szCs w:val="20"/>
        </w:rPr>
        <w:t xml:space="preserve"> 15-minute basis and reflects the cost of balancing energy across transmission system operators [6]. Its heavy-tailed distribution, abrupt spikes, and regime-dependent behaviour make imbalance price forecasting more difficult than standard electricity price forecasting, particularly during stressed system conditions [4], [10], [11], [12].</w:t>
      </w:r>
    </w:p>
    <w:p w14:paraId="155B396C"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The literature on electricity and imbalance price forecasting spans both classical statistical models and more recent machine learning approaches. Traditional models such as ARIMA- and GARCH-type frameworks can capture short-run dependence and conditional heteroskedasticity, but they are more limited when the underlying relationships are strongly non-linear. For this reason, machine learning models, including tree-based ensemble methods such as </w:t>
      </w:r>
      <w:proofErr w:type="spellStart"/>
      <w:r w:rsidRPr="00E23A38">
        <w:rPr>
          <w:rFonts w:asciiTheme="minorHAnsi" w:hAnsiTheme="minorHAnsi"/>
          <w:sz w:val="20"/>
          <w:szCs w:val="20"/>
        </w:rPr>
        <w:t>XGBoost</w:t>
      </w:r>
      <w:proofErr w:type="spellEnd"/>
      <w:r w:rsidRPr="00E23A38">
        <w:rPr>
          <w:rFonts w:asciiTheme="minorHAnsi" w:hAnsiTheme="minorHAnsi"/>
          <w:sz w:val="20"/>
          <w:szCs w:val="20"/>
        </w:rPr>
        <w:t>, have been widely adopted for electricity price forecasting using structured market data [2], [3]. More recent studies have also proposed hybrid and decomposition-based architectures, including variational mode decomposition and attention-based deep learning models, to better capture the non-stationary and multi-scale nature of electricity prices [8], [9]. At the same time, the forecasting of rare price spikes has increasingly been treated as a distinct problem, since extreme events are difficult to model with standard point-forecasting approaches and often require specialised methods, threshold design, and evaluation criteria [4], [10], [11], [12].</w:t>
      </w:r>
    </w:p>
    <w:p w14:paraId="67B6AB7D"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In parallel, grid frequency dynamics have been extensively studied in the context of power system stability and control. Prior work shows that grid frequency is structurally meaningful because it reflects the real-time balance between generation and demand, and that the signal contains both regular components linked to system operation and stochastic deviations associated with unexpected events [1], [7]. However, this line of research has mainly focused on frequency modelling, predictability, and system stability rather than on using engineered frequency microstructure as an input to imbalance price forecasting.</w:t>
      </w:r>
    </w:p>
    <w:p w14:paraId="65DDD0A5" w14:textId="6EBADFF7" w:rsidR="00D60667"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Although electricity price forecasting and grid frequency analysis are both </w:t>
      </w:r>
      <w:proofErr w:type="spellStart"/>
      <w:r w:rsidRPr="00E23A38">
        <w:rPr>
          <w:rFonts w:asciiTheme="minorHAnsi" w:hAnsiTheme="minorHAnsi"/>
          <w:sz w:val="20"/>
          <w:szCs w:val="20"/>
        </w:rPr>
        <w:t>well established</w:t>
      </w:r>
      <w:proofErr w:type="spellEnd"/>
      <w:r w:rsidRPr="00E23A38">
        <w:rPr>
          <w:rFonts w:asciiTheme="minorHAnsi" w:hAnsiTheme="minorHAnsi"/>
          <w:sz w:val="20"/>
          <w:szCs w:val="20"/>
        </w:rPr>
        <w:t xml:space="preserve"> research areas, they have largely developed separately. Existing electricity and imbalance price forecasting studies are mainly based on market-derived variables, statistical time-series structure, or more recent machine learning and hybrid forecasting architectures. In contrast, studies on grid frequency mainly focus on system stability, control, and the predictability of the frequency signal itself rather than its use as an input to imbalance price forecasting [1], [2], [3], [7], [8], [9]. A more specific gap remains in testing whether engineered micro-signals extracted from high-frequency grid frequency data, such as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excursion depth, short-term volatility, and recovery behaviour, provide incremental predictive information for German reBAP beyond conventional market-based inputs.</w:t>
      </w:r>
    </w:p>
    <w:p w14:paraId="099A3BE9" w14:textId="77777777" w:rsidR="00D60667" w:rsidRPr="00E23A38" w:rsidRDefault="00D60667" w:rsidP="00472C6C">
      <w:pPr>
        <w:spacing w:before="80" w:after="140" w:line="216" w:lineRule="auto"/>
        <w:jc w:val="both"/>
        <w:rPr>
          <w:rFonts w:asciiTheme="minorHAnsi" w:hAnsiTheme="minorHAnsi"/>
          <w:sz w:val="20"/>
          <w:szCs w:val="20"/>
        </w:rPr>
      </w:pPr>
      <w:r w:rsidRPr="0084162B">
        <w:rPr>
          <w:rFonts w:asciiTheme="minorHAnsi" w:hAnsiTheme="minorHAnsi"/>
          <w:sz w:val="20"/>
          <w:szCs w:val="20"/>
        </w:rPr>
        <w:t xml:space="preserve">A more specific gap remains in testing whether engineered micro-signals extracted from high-frequency grid frequency data, such as </w:t>
      </w:r>
      <w:proofErr w:type="spellStart"/>
      <w:r w:rsidRPr="0084162B">
        <w:rPr>
          <w:rFonts w:asciiTheme="minorHAnsi" w:hAnsiTheme="minorHAnsi"/>
          <w:sz w:val="20"/>
          <w:szCs w:val="20"/>
        </w:rPr>
        <w:t>RoCoF</w:t>
      </w:r>
      <w:proofErr w:type="spellEnd"/>
      <w:r w:rsidRPr="0084162B">
        <w:rPr>
          <w:rFonts w:asciiTheme="minorHAnsi" w:hAnsiTheme="minorHAnsi"/>
          <w:sz w:val="20"/>
          <w:szCs w:val="20"/>
        </w:rPr>
        <w:t>, excursion depth, short-term volatility, and recovery behaviour, provide incremental predictive information for German reBAP beyond conventional market-based inputs.</w:t>
      </w:r>
      <w:r>
        <w:rPr>
          <w:rFonts w:asciiTheme="minorHAnsi" w:hAnsiTheme="minorHAnsi"/>
          <w:sz w:val="20"/>
          <w:szCs w:val="20"/>
        </w:rPr>
        <w:t xml:space="preserve"> </w:t>
      </w:r>
      <w:r w:rsidRPr="0084162B">
        <w:rPr>
          <w:rFonts w:asciiTheme="minorHAnsi" w:hAnsiTheme="minorHAnsi"/>
          <w:sz w:val="20"/>
          <w:szCs w:val="20"/>
        </w:rPr>
        <w:t xml:space="preserve">Existing electricity price forecasting studies focus primarily on market-derived variables and model </w:t>
      </w:r>
      <w:r w:rsidRPr="0084162B">
        <w:rPr>
          <w:rFonts w:asciiTheme="minorHAnsi" w:hAnsiTheme="minorHAnsi"/>
          <w:sz w:val="20"/>
          <w:szCs w:val="20"/>
        </w:rPr>
        <w:lastRenderedPageBreak/>
        <w:t>architectures designed to improve predictive accuracy [2], [3], [8], [9], while grid frequency studies focus on system stability, predictability, and physical interpretation of the frequency signal itself [1], [7]. However, neither line of work explicitly evaluates whether frequency-derived microstructure can be transformed into predictive features and used to improve imbalance price forecasting.</w:t>
      </w:r>
      <w:r>
        <w:rPr>
          <w:rFonts w:asciiTheme="minorHAnsi" w:hAnsiTheme="minorHAnsi"/>
          <w:sz w:val="20"/>
          <w:szCs w:val="20"/>
        </w:rPr>
        <w:t xml:space="preserve"> </w:t>
      </w:r>
      <w:r w:rsidRPr="0084162B">
        <w:rPr>
          <w:rFonts w:asciiTheme="minorHAnsi" w:hAnsiTheme="minorHAnsi"/>
          <w:sz w:val="20"/>
          <w:szCs w:val="20"/>
        </w:rPr>
        <w:t>This project addresses this gap by explicitly engineering frequency micro-signals from second-level data and testing their incremental predictive value across multiple tasks, rather than proposing a new model architecture.</w:t>
      </w:r>
    </w:p>
    <w:p w14:paraId="7CF917AF" w14:textId="77777777" w:rsidR="00D60667" w:rsidRPr="00E23A38" w:rsidRDefault="00D60667" w:rsidP="00472C6C">
      <w:pPr>
        <w:pStyle w:val="Heading1"/>
        <w:pBdr>
          <w:bottom w:val="single" w:sz="6" w:space="4" w:color="2E75B6"/>
        </w:pBdr>
        <w:spacing w:line="216" w:lineRule="auto"/>
        <w:rPr>
          <w:rFonts w:asciiTheme="minorHAnsi" w:hAnsiTheme="minorHAnsi"/>
          <w:sz w:val="20"/>
          <w:szCs w:val="20"/>
        </w:rPr>
      </w:pPr>
      <w:r w:rsidRPr="00E23A38">
        <w:rPr>
          <w:rFonts w:asciiTheme="minorHAnsi" w:hAnsiTheme="minorHAnsi"/>
          <w:sz w:val="20"/>
          <w:szCs w:val="20"/>
        </w:rPr>
        <w:t>3. Problem Definition</w:t>
      </w:r>
    </w:p>
    <w:p w14:paraId="7B0E7DB2"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The project aims to determine whether high-frequency physical signals from the German grid hold predictive information for short-term imbalance price behaviour beyond that already captured by conventional market variables. Five different prediction problems are formulated, each targeting a different aspect of reBAP dynamics at a 15-minute frequency: </w:t>
      </w:r>
    </w:p>
    <w:p w14:paraId="75F90FDF" w14:textId="77777777" w:rsidR="00D60667" w:rsidRPr="00E23A38" w:rsidRDefault="00D60667" w:rsidP="00472C6C">
      <w:pPr>
        <w:pStyle w:val="ListParagraph"/>
        <w:numPr>
          <w:ilvl w:val="0"/>
          <w:numId w:val="5"/>
        </w:numPr>
        <w:spacing w:before="80" w:after="140" w:line="216" w:lineRule="auto"/>
        <w:jc w:val="both"/>
        <w:rPr>
          <w:rFonts w:asciiTheme="minorHAnsi" w:hAnsiTheme="minorHAnsi"/>
          <w:sz w:val="20"/>
          <w:szCs w:val="20"/>
        </w:rPr>
      </w:pPr>
      <w:r w:rsidRPr="00E23A38">
        <w:rPr>
          <w:rFonts w:asciiTheme="minorHAnsi" w:hAnsiTheme="minorHAnsi"/>
          <w:sz w:val="20"/>
          <w:szCs w:val="20"/>
        </w:rPr>
        <w:t>Price regression: prediction of the actual reBAP price for the subsequent settlement interval.</w:t>
      </w:r>
    </w:p>
    <w:p w14:paraId="6EE2C1BD" w14:textId="77777777" w:rsidR="00D60667" w:rsidRPr="00E23A38" w:rsidRDefault="00D60667" w:rsidP="00472C6C">
      <w:pPr>
        <w:pStyle w:val="ListParagraph"/>
        <w:numPr>
          <w:ilvl w:val="0"/>
          <w:numId w:val="5"/>
        </w:numPr>
        <w:spacing w:before="80" w:after="140" w:line="216" w:lineRule="auto"/>
        <w:jc w:val="both"/>
        <w:rPr>
          <w:rFonts w:asciiTheme="minorHAnsi" w:hAnsiTheme="minorHAnsi"/>
          <w:sz w:val="20"/>
          <w:szCs w:val="20"/>
        </w:rPr>
      </w:pPr>
      <w:r w:rsidRPr="00E23A38">
        <w:rPr>
          <w:rFonts w:asciiTheme="minorHAnsi" w:hAnsiTheme="minorHAnsi"/>
          <w:sz w:val="20"/>
          <w:szCs w:val="20"/>
        </w:rPr>
        <w:t>Return regression: prediction of the price return for the subsequent settlement interval, providing a scale-normalised alternative to raw price forecasting.</w:t>
      </w:r>
    </w:p>
    <w:p w14:paraId="0C2F66E0" w14:textId="77777777" w:rsidR="00D60667" w:rsidRPr="00E23A38" w:rsidRDefault="00D60667" w:rsidP="00472C6C">
      <w:pPr>
        <w:pStyle w:val="ListParagraph"/>
        <w:numPr>
          <w:ilvl w:val="0"/>
          <w:numId w:val="5"/>
        </w:numPr>
        <w:spacing w:before="80" w:after="140" w:line="216" w:lineRule="auto"/>
        <w:jc w:val="both"/>
        <w:rPr>
          <w:rFonts w:asciiTheme="minorHAnsi" w:hAnsiTheme="minorHAnsi"/>
          <w:sz w:val="20"/>
          <w:szCs w:val="20"/>
        </w:rPr>
      </w:pPr>
      <w:r w:rsidRPr="00E23A38">
        <w:rPr>
          <w:rFonts w:asciiTheme="minorHAnsi" w:hAnsiTheme="minorHAnsi"/>
          <w:sz w:val="20"/>
          <w:szCs w:val="20"/>
        </w:rPr>
        <w:t>Spike classification: binary prediction of whether the reBAP price in the subsequent interval exceeds the 90th percentile of the training distribution. This percentile-based definition is used because reBAP is heavy-tailed and does not admit a natural parametric spike threshold. The 90th percentile identifies the upper tail of unusually high prices while still preserving enough positive observations for stable supervised classification.</w:t>
      </w:r>
    </w:p>
    <w:p w14:paraId="118A528E" w14:textId="77777777" w:rsidR="00D60667" w:rsidRPr="00E23A38" w:rsidRDefault="00D60667" w:rsidP="00472C6C">
      <w:pPr>
        <w:pStyle w:val="ListParagraph"/>
        <w:numPr>
          <w:ilvl w:val="0"/>
          <w:numId w:val="5"/>
        </w:numPr>
        <w:spacing w:before="80" w:after="140" w:line="216" w:lineRule="auto"/>
        <w:jc w:val="both"/>
        <w:rPr>
          <w:rFonts w:asciiTheme="minorHAnsi" w:hAnsiTheme="minorHAnsi"/>
          <w:sz w:val="20"/>
          <w:szCs w:val="20"/>
        </w:rPr>
      </w:pPr>
      <w:r w:rsidRPr="00E23A38">
        <w:rPr>
          <w:rFonts w:asciiTheme="minorHAnsi" w:hAnsiTheme="minorHAnsi"/>
          <w:sz w:val="20"/>
          <w:szCs w:val="20"/>
        </w:rPr>
        <w:t>Volatility regime prediction: multi-class prediction of the variance of the next four intervals, covering low, medium, and high volatility states over a one-hour forward window.</w:t>
      </w:r>
    </w:p>
    <w:p w14:paraId="028DC763" w14:textId="77777777" w:rsidR="00D60667" w:rsidRPr="00E23A38" w:rsidRDefault="00D60667" w:rsidP="00472C6C">
      <w:pPr>
        <w:pStyle w:val="ListParagraph"/>
        <w:numPr>
          <w:ilvl w:val="0"/>
          <w:numId w:val="5"/>
        </w:numPr>
        <w:spacing w:before="80" w:after="140" w:line="216" w:lineRule="auto"/>
        <w:jc w:val="both"/>
        <w:rPr>
          <w:rFonts w:asciiTheme="minorHAnsi" w:hAnsiTheme="minorHAnsi"/>
          <w:sz w:val="20"/>
          <w:szCs w:val="20"/>
        </w:rPr>
      </w:pPr>
      <w:r w:rsidRPr="00E23A38">
        <w:rPr>
          <w:rFonts w:asciiTheme="minorHAnsi" w:hAnsiTheme="minorHAnsi"/>
          <w:sz w:val="20"/>
          <w:szCs w:val="20"/>
        </w:rPr>
        <w:t>Return volatility spike classification: binary prediction of whether the absolute return in the following interval exceeds the 99th percentile of the training absolute return distribution. A higher threshold is used here because the objective is to isolate only the most extreme interval-to-interval movements. Unlike the price spike task, which targets an economically meaningful upper-tail price event, this definition is intended to capture rare and abrupt return shocks, and therefore a stricter percentile threshold is more appropriate.</w:t>
      </w:r>
    </w:p>
    <w:p w14:paraId="1426E47A"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The physical process underlying the hypothesis is as follows: The balance between electricity generation and demand must be continuously met. Discrepancies occur instantaneously as frequency deviations or excursions. These are first absorbed by system inertia before balancing reserves are activated. Reserve activation has real costs that are subsequently reflected in reBAP. The process from disturbance to reserve activation to price is temporal in nature, allowing for the role of frequency micro-signals to be an early indicator of price stress.</w:t>
      </w:r>
    </w:p>
    <w:p w14:paraId="3317E90D" w14:textId="3CDF5B48" w:rsidR="00D60667" w:rsidRPr="00E23A38" w:rsidRDefault="00D60667" w:rsidP="00472C6C">
      <w:pPr>
        <w:spacing w:before="60" w:after="60" w:line="216" w:lineRule="auto"/>
        <w:rPr>
          <w:rFonts w:asciiTheme="minorHAnsi" w:hAnsiTheme="minorHAnsi"/>
          <w:sz w:val="20"/>
          <w:szCs w:val="20"/>
        </w:rPr>
      </w:pPr>
      <w:r w:rsidRPr="00E23A38">
        <w:rPr>
          <w:rFonts w:asciiTheme="minorHAnsi" w:hAnsiTheme="minorHAnsi"/>
          <w:sz w:val="20"/>
          <w:szCs w:val="20"/>
        </w:rPr>
        <w:t>The timescale of the process means that second-level analysis is required to capture the relevant dynamics. Due to a documented resolution shift in the data after January 2017, the analysis is restricted to the 2012–2016 period, which is the only time interval for which a consistent high-precision dataset is available. The imbalance price target (reBAP) is specific to Germany and reflects the outcome of the German balancing market. In contrast, the frequency data is measured across the Continental European synchronous area, where all connected systems operate at a common grid frequency. As a result, frequency deviations reflect system-wide imbalances, while imbalance prices remain country-specific due to differences in market design and settlement mechanisms. All frequency features are aggregated to 15-minute intervals to match the reBAP settlement period.</w:t>
      </w:r>
    </w:p>
    <w:p w14:paraId="37546234" w14:textId="77777777" w:rsidR="00D60667" w:rsidRDefault="00D60667" w:rsidP="00472C6C">
      <w:pPr>
        <w:spacing w:before="60" w:after="60" w:line="216" w:lineRule="auto"/>
        <w:rPr>
          <w:rFonts w:asciiTheme="minorHAnsi" w:hAnsiTheme="minorHAnsi"/>
          <w:sz w:val="20"/>
          <w:szCs w:val="20"/>
        </w:rPr>
      </w:pPr>
    </w:p>
    <w:p w14:paraId="3B482D7F" w14:textId="77777777" w:rsidR="00D60667" w:rsidRPr="00E23A38" w:rsidRDefault="00D60667" w:rsidP="00472C6C">
      <w:pPr>
        <w:spacing w:before="60" w:after="60" w:line="216" w:lineRule="auto"/>
        <w:rPr>
          <w:rFonts w:asciiTheme="minorHAnsi" w:hAnsiTheme="minorHAnsi"/>
          <w:sz w:val="20"/>
          <w:szCs w:val="20"/>
        </w:rPr>
      </w:pPr>
      <w:r w:rsidRPr="00E23A38">
        <w:rPr>
          <w:rFonts w:asciiTheme="minorHAnsi" w:hAnsiTheme="minorHAnsi"/>
          <w:sz w:val="20"/>
          <w:szCs w:val="20"/>
        </w:rPr>
        <w:t xml:space="preserve">There are three structural challenges to be addressed in the </w:t>
      </w:r>
      <w:proofErr w:type="spellStart"/>
      <w:r w:rsidRPr="00E23A38">
        <w:rPr>
          <w:rFonts w:asciiTheme="minorHAnsi" w:hAnsiTheme="minorHAnsi"/>
          <w:sz w:val="20"/>
          <w:szCs w:val="20"/>
        </w:rPr>
        <w:t>modeling</w:t>
      </w:r>
      <w:proofErr w:type="spellEnd"/>
      <w:r w:rsidRPr="00E23A38">
        <w:rPr>
          <w:rFonts w:asciiTheme="minorHAnsi" w:hAnsiTheme="minorHAnsi"/>
          <w:sz w:val="20"/>
          <w:szCs w:val="20"/>
        </w:rPr>
        <w:t xml:space="preserve"> process. The first is that ReBAP prices are heavy-tailed distributions with rare price spikes dominating the loss function for linear regression models. The second is that spikes are rare events, resulting in severe class imbalance for classification tasks. The third is that the market is non-stationary: the proportion of renewable energy sources fed into the grid, the design of the balancing mechanism, and the way the system is operated all change over the analysis period.</w:t>
      </w:r>
    </w:p>
    <w:p w14:paraId="5B063B59" w14:textId="77777777" w:rsidR="00D60667" w:rsidRPr="00E23A38" w:rsidRDefault="00D60667" w:rsidP="00472C6C">
      <w:pPr>
        <w:pStyle w:val="Heading1"/>
        <w:pBdr>
          <w:bottom w:val="single" w:sz="6" w:space="4" w:color="2E75B6"/>
        </w:pBdr>
        <w:spacing w:line="216" w:lineRule="auto"/>
        <w:rPr>
          <w:rFonts w:asciiTheme="minorHAnsi" w:hAnsiTheme="minorHAnsi"/>
          <w:sz w:val="20"/>
          <w:szCs w:val="20"/>
        </w:rPr>
      </w:pPr>
      <w:r w:rsidRPr="00E23A38">
        <w:rPr>
          <w:rFonts w:asciiTheme="minorHAnsi" w:hAnsiTheme="minorHAnsi"/>
          <w:sz w:val="20"/>
          <w:szCs w:val="20"/>
        </w:rPr>
        <w:t>4. Data</w:t>
      </w:r>
    </w:p>
    <w:p w14:paraId="191FB9D9" w14:textId="77777777" w:rsidR="00D60667" w:rsidRPr="00E23A38" w:rsidRDefault="00D60667" w:rsidP="00472C6C">
      <w:pPr>
        <w:pStyle w:val="Heading2"/>
        <w:spacing w:line="216" w:lineRule="auto"/>
        <w:rPr>
          <w:rFonts w:asciiTheme="minorHAnsi" w:hAnsiTheme="minorHAnsi"/>
          <w:sz w:val="20"/>
          <w:szCs w:val="20"/>
        </w:rPr>
      </w:pPr>
      <w:r w:rsidRPr="00E23A38">
        <w:rPr>
          <w:rFonts w:asciiTheme="minorHAnsi" w:hAnsiTheme="minorHAnsi"/>
          <w:sz w:val="20"/>
          <w:szCs w:val="20"/>
        </w:rPr>
        <w:t>4.1 Sources</w:t>
      </w:r>
    </w:p>
    <w:p w14:paraId="71297E9D"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lastRenderedPageBreak/>
        <w:t xml:space="preserve">The grid frequency measurements for the German (Continental European) synchronous area were derived from the Power Grid Frequency Database [5]. The </w:t>
      </w:r>
      <w:proofErr w:type="gramStart"/>
      <w:r w:rsidRPr="00E23A38">
        <w:rPr>
          <w:rFonts w:asciiTheme="minorHAnsi" w:hAnsiTheme="minorHAnsi"/>
          <w:sz w:val="20"/>
          <w:szCs w:val="20"/>
        </w:rPr>
        <w:t>2012-2016 time</w:t>
      </w:r>
      <w:proofErr w:type="gramEnd"/>
      <w:r w:rsidRPr="00E23A38">
        <w:rPr>
          <w:rFonts w:asciiTheme="minorHAnsi" w:hAnsiTheme="minorHAnsi"/>
          <w:sz w:val="20"/>
          <w:szCs w:val="20"/>
        </w:rPr>
        <w:t xml:space="preserve"> window is exclusively used for the analysis since the precision change after early 2017 would affect features like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xml:space="preserve"> and excursion depth.</w:t>
      </w:r>
    </w:p>
    <w:p w14:paraId="5FEB437F"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The uniform time series for the reBAP was derived from </w:t>
      </w:r>
      <w:proofErr w:type="spellStart"/>
      <w:r w:rsidRPr="00E23A38">
        <w:rPr>
          <w:rFonts w:asciiTheme="minorHAnsi" w:hAnsiTheme="minorHAnsi"/>
          <w:sz w:val="20"/>
          <w:szCs w:val="20"/>
        </w:rPr>
        <w:t>Netztransparenz</w:t>
      </w:r>
      <w:proofErr w:type="spellEnd"/>
      <w:r w:rsidRPr="00E23A38">
        <w:rPr>
          <w:rFonts w:asciiTheme="minorHAnsi" w:hAnsiTheme="minorHAnsi"/>
          <w:sz w:val="20"/>
          <w:szCs w:val="20"/>
        </w:rPr>
        <w:t xml:space="preserve"> [6], aggregated to 15-minute intervals. After harmonisation of imbalance pricing for transmission system operators in Germany following 2010, reBAP is a system-wide signal that reflects balancing costs in real time.</w:t>
      </w:r>
    </w:p>
    <w:p w14:paraId="5F893FB8" w14:textId="77777777" w:rsidR="00D60667" w:rsidRPr="00E23A38" w:rsidRDefault="00D60667" w:rsidP="00472C6C">
      <w:pPr>
        <w:pStyle w:val="Heading2"/>
        <w:spacing w:line="216" w:lineRule="auto"/>
        <w:rPr>
          <w:rFonts w:asciiTheme="minorHAnsi" w:hAnsiTheme="minorHAnsi"/>
          <w:sz w:val="20"/>
          <w:szCs w:val="20"/>
        </w:rPr>
      </w:pPr>
      <w:r w:rsidRPr="00E23A38">
        <w:rPr>
          <w:rFonts w:asciiTheme="minorHAnsi" w:hAnsiTheme="minorHAnsi"/>
          <w:sz w:val="20"/>
          <w:szCs w:val="20"/>
        </w:rPr>
        <w:t>4.2 Preprocessing and Alignment</w:t>
      </w:r>
    </w:p>
    <w:p w14:paraId="2F5E54DB"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 For the frequency series, gaps are removed rather than filled by interpolation, since interpolation would smooth exactly the second-level movements that the engineered features are designed to capture. Missingness is concentrated mainly in April–June 2015, including a completely missing month in May 2015. In total, ~5 million second-level observations were unavailable, which led to the removal of 5,760 15-minute intervals (3.29% of the aligned sample) after the contiguous-window requirement was imposed. This may introduce some bias if the missing periods are systematically different from the retained sample, particularly because they are concentrated in a specific part of 2015. However, gap removal was preferred to interpolation to avoid introducing artificial frequency dynamics into the feature set.</w:t>
      </w:r>
    </w:p>
    <w:p w14:paraId="50EA1552"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All my frequency features are calculated on a second-level resolution before aggregation to a 15-minute window. The aggregation operator is tailored to the physical interpretation of each feature type: class max for excursion-type features, standard deviation for volatility-type features, and summary statistics for the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-type features. The price data does not require any complex preprocessing except for the timestamp.</w:t>
      </w:r>
    </w:p>
    <w:p w14:paraId="3F40DABB"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In all cases, I ensure a causal constraint: all features for an interval </w:t>
      </w:r>
      <w:r w:rsidRPr="00E23A38">
        <w:rPr>
          <w:rFonts w:asciiTheme="minorHAnsi" w:hAnsiTheme="minorHAnsi"/>
          <w:i/>
          <w:iCs/>
          <w:sz w:val="20"/>
          <w:szCs w:val="20"/>
        </w:rPr>
        <w:t>t</w:t>
      </w:r>
      <w:r w:rsidRPr="00E23A38">
        <w:rPr>
          <w:rFonts w:asciiTheme="minorHAnsi" w:hAnsiTheme="minorHAnsi"/>
          <w:sz w:val="20"/>
          <w:szCs w:val="20"/>
        </w:rPr>
        <w:t xml:space="preserve"> are calculated from data available strictly before or at time t. This is to ensure that the micro-signals for the frequency truly are from before the event they are to predict.</w:t>
      </w:r>
    </w:p>
    <w:p w14:paraId="36142003" w14:textId="77777777" w:rsidR="00D60667" w:rsidRPr="00E23A38" w:rsidRDefault="00D60667" w:rsidP="00472C6C">
      <w:pPr>
        <w:pStyle w:val="Heading1"/>
        <w:pBdr>
          <w:bottom w:val="single" w:sz="6" w:space="4" w:color="2E75B6"/>
        </w:pBdr>
        <w:spacing w:line="216" w:lineRule="auto"/>
        <w:rPr>
          <w:rFonts w:asciiTheme="minorHAnsi" w:hAnsiTheme="minorHAnsi"/>
          <w:sz w:val="20"/>
          <w:szCs w:val="20"/>
        </w:rPr>
      </w:pPr>
      <w:r w:rsidRPr="00E23A38">
        <w:rPr>
          <w:rFonts w:asciiTheme="minorHAnsi" w:hAnsiTheme="minorHAnsi"/>
          <w:sz w:val="20"/>
          <w:szCs w:val="20"/>
        </w:rPr>
        <w:t>5. Feature Engineering</w:t>
      </w:r>
    </w:p>
    <w:p w14:paraId="3D1CD208"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I group features into two families to facilitate a clean controlled comparison between a market-only baseline and an extended specification including physical grid signals.</w:t>
      </w:r>
    </w:p>
    <w:p w14:paraId="15B24690" w14:textId="77777777" w:rsidR="00D60667" w:rsidRPr="00E23A38" w:rsidRDefault="00D60667" w:rsidP="00472C6C">
      <w:pPr>
        <w:pStyle w:val="Heading2"/>
        <w:spacing w:line="216" w:lineRule="auto"/>
        <w:rPr>
          <w:rFonts w:asciiTheme="minorHAnsi" w:hAnsiTheme="minorHAnsi"/>
          <w:sz w:val="20"/>
          <w:szCs w:val="20"/>
        </w:rPr>
      </w:pPr>
      <w:r w:rsidRPr="00E23A38">
        <w:rPr>
          <w:rFonts w:asciiTheme="minorHAnsi" w:hAnsiTheme="minorHAnsi"/>
          <w:sz w:val="20"/>
          <w:szCs w:val="20"/>
        </w:rPr>
        <w:t>5.1 Market-Derived Baseline Features</w:t>
      </w:r>
    </w:p>
    <w:p w14:paraId="7349CAFD"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The baseline model captures the statistical structure known to drive imbalance prices. This includes lagged price values to capture short-term momentum effects, rolling averages to capture local trend components, as well as rolling dispersion measures to capture short-term volatility. Additionally, I have included features to capture scale-normalised representations of past price movements. In the tuned models, I have included hour-of-day and day-of-week indicators to capture the typical operational patterns around ramp periods and weekday/weekend transitions. I want to achieve a truly competitive baseline rather than a poor one that flatters the performance of the frequency signals.</w:t>
      </w:r>
    </w:p>
    <w:p w14:paraId="70FD5374" w14:textId="77777777" w:rsidR="00D60667" w:rsidRPr="00E23A38" w:rsidRDefault="00D60667" w:rsidP="00472C6C">
      <w:pPr>
        <w:pStyle w:val="Heading2"/>
        <w:spacing w:line="216" w:lineRule="auto"/>
        <w:rPr>
          <w:rFonts w:asciiTheme="minorHAnsi" w:hAnsiTheme="minorHAnsi"/>
          <w:sz w:val="20"/>
          <w:szCs w:val="20"/>
        </w:rPr>
      </w:pPr>
      <w:r w:rsidRPr="00E23A38">
        <w:rPr>
          <w:rFonts w:asciiTheme="minorHAnsi" w:hAnsiTheme="minorHAnsi"/>
          <w:sz w:val="20"/>
          <w:szCs w:val="20"/>
        </w:rPr>
        <w:t>5.2 Frequency Micro-Signal Features</w:t>
      </w:r>
    </w:p>
    <w:p w14:paraId="4177799C"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 </w:t>
      </w:r>
      <w:r>
        <w:rPr>
          <w:rFonts w:asciiTheme="minorHAnsi" w:hAnsiTheme="minorHAnsi"/>
          <w:sz w:val="20"/>
          <w:szCs w:val="20"/>
        </w:rPr>
        <w:t xml:space="preserve">I </w:t>
      </w:r>
      <w:r w:rsidRPr="00BB7C31">
        <w:rPr>
          <w:rFonts w:asciiTheme="minorHAnsi" w:hAnsiTheme="minorHAnsi"/>
          <w:sz w:val="20"/>
          <w:szCs w:val="20"/>
        </w:rPr>
        <w:t>derive five sets of frequency-derived feature families based on the behaviour of the grid frequency signal. The frequency is observed at second-level resolution and then aggregated to match the 15-minute settlement intervals used for reBAP. All features are constructed within each interval using only the frequency observations available in that period.</w:t>
      </w:r>
      <w:r>
        <w:rPr>
          <w:rFonts w:asciiTheme="minorHAnsi" w:hAnsiTheme="minorHAnsi"/>
          <w:sz w:val="20"/>
          <w:szCs w:val="20"/>
        </w:rPr>
        <w:t xml:space="preserve"> </w:t>
      </w:r>
      <w:r w:rsidRPr="00BB7C31">
        <w:rPr>
          <w:rFonts w:asciiTheme="minorHAnsi" w:hAnsiTheme="minorHAnsi"/>
          <w:sz w:val="20"/>
          <w:szCs w:val="20"/>
        </w:rPr>
        <w:t>The nominal system frequency is 50 Hz, and deviations from this level are used as the basis for most features. These deviations capture the imbalance between generation and demand and are summarised in different ways depending on the type of behaviour being measured.</w:t>
      </w:r>
    </w:p>
    <w:p w14:paraId="1F8121E0" w14:textId="14D48C14" w:rsidR="00D60667" w:rsidRPr="00EA4F37" w:rsidRDefault="00D60667" w:rsidP="00472C6C">
      <w:pPr>
        <w:pStyle w:val="ListParagraph"/>
        <w:numPr>
          <w:ilvl w:val="0"/>
          <w:numId w:val="6"/>
        </w:numPr>
        <w:spacing w:before="80" w:after="140" w:line="216" w:lineRule="auto"/>
        <w:jc w:val="both"/>
        <w:rPr>
          <w:rFonts w:asciiTheme="minorHAnsi" w:hAnsiTheme="minorHAnsi"/>
          <w:sz w:val="20"/>
          <w:szCs w:val="20"/>
        </w:rPr>
      </w:pPr>
      <w:r w:rsidRPr="00E23A38">
        <w:rPr>
          <w:rFonts w:asciiTheme="minorHAnsi" w:hAnsiTheme="minorHAnsi"/>
          <w:b/>
          <w:bCs/>
          <w:sz w:val="20"/>
          <w:szCs w:val="20"/>
        </w:rPr>
        <w:t>Frequency level deviation:</w:t>
      </w:r>
      <w:r w:rsidRPr="00E23A38">
        <w:rPr>
          <w:rFonts w:asciiTheme="minorHAnsi" w:hAnsiTheme="minorHAnsi"/>
          <w:sz w:val="20"/>
          <w:szCs w:val="20"/>
        </w:rPr>
        <w:t xml:space="preserve"> features based on the</w:t>
      </w:r>
      <w:r w:rsidR="00EA4F37">
        <w:rPr>
          <w:rFonts w:asciiTheme="minorHAnsi" w:hAnsiTheme="minorHAnsi"/>
          <w:sz w:val="20"/>
          <w:szCs w:val="20"/>
        </w:rPr>
        <w:t xml:space="preserve"> nominal</w:t>
      </w:r>
      <w:r w:rsidRPr="00E23A38">
        <w:rPr>
          <w:rFonts w:asciiTheme="minorHAnsi" w:hAnsiTheme="minorHAnsi"/>
          <w:sz w:val="20"/>
          <w:szCs w:val="20"/>
        </w:rPr>
        <w:t xml:space="preserve"> deviation </w:t>
      </w:r>
      <m:oMath>
        <m:sSub>
          <m:sSubPr>
            <m:ctrlPr>
              <w:rPr>
                <w:rFonts w:ascii="Cambria Math" w:hAnsi="Cambria Math"/>
                <w:sz w:val="20"/>
                <w:szCs w:val="20"/>
              </w:rPr>
            </m:ctrlPr>
          </m:sSubPr>
          <m:e>
            <m:r>
              <w:rPr>
                <w:rFonts w:ascii="Cambria Math" w:hAnsi="Cambria Math"/>
                <w:sz w:val="20"/>
                <w:szCs w:val="20"/>
              </w:rPr>
              <m:t>d</m:t>
            </m:r>
            <m:ctrlPr>
              <w:rPr>
                <w:rFonts w:ascii="Cambria Math" w:hAnsi="Cambria Math"/>
                <w:i/>
                <w:sz w:val="20"/>
                <w:szCs w:val="20"/>
              </w:rPr>
            </m:ctrlPr>
          </m:e>
          <m:sub>
            <m:r>
              <w:rPr>
                <w:rFonts w:ascii="Cambria Math" w:hAnsi="Cambria Math"/>
                <w:sz w:val="20"/>
                <w:szCs w:val="20"/>
              </w:rPr>
              <m:t>s</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-50</m:t>
        </m:r>
      </m:oMath>
      <w:r w:rsidRPr="00EA4F37">
        <w:rPr>
          <w:rFonts w:asciiTheme="minorHAnsi" w:hAnsiTheme="minorHAnsi"/>
          <w:sz w:val="20"/>
          <w:szCs w:val="20"/>
        </w:rPr>
        <w:t>, including the mean deviation and the maximum and minimum deviations which measure the overall severity of imbalance conditions within the interval.</w:t>
      </w:r>
    </w:p>
    <w:p w14:paraId="37FD5DCD" w14:textId="77777777" w:rsidR="00D60667" w:rsidRPr="00E23A38" w:rsidRDefault="00D60667" w:rsidP="00472C6C">
      <w:pPr>
        <w:spacing w:before="80" w:after="140" w:line="216" w:lineRule="auto"/>
        <w:jc w:val="both"/>
        <w:rPr>
          <w:rFonts w:asciiTheme="minorHAnsi" w:hAnsiTheme="minorHAnsi"/>
          <w:sz w:val="20"/>
          <w:szCs w:val="20"/>
        </w:rPr>
      </w:pPr>
      <m:oMathPara>
        <m:oMath>
          <m:r>
            <m:rPr>
              <m:nor/>
            </m:rPr>
            <w:rPr>
              <w:rFonts w:asciiTheme="minorHAnsi" w:hAnsiTheme="minorHAnsi"/>
              <w:sz w:val="20"/>
              <w:szCs w:val="20"/>
            </w:rPr>
            <m:t>Deviation Mean</m:t>
          </m:r>
          <m: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grow m:val="1"/>
              <m:supHide m:val="1"/>
              <m:ctrlPr>
                <w:rPr>
                  <w:rFonts w:ascii="Cambria Math" w:hAnsi="Cambria Math"/>
                  <w:sz w:val="20"/>
                  <w:szCs w:val="20"/>
                </w:rPr>
              </m:ctrlPr>
            </m:naryPr>
            <m:sub>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sub>
            <m:sup/>
            <m:e>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s</m:t>
                  </m:r>
                </m:sub>
              </m:sSub>
            </m:e>
          </m:nary>
          <m:r>
            <m:rPr>
              <m:sty m:val="p"/>
            </m:rPr>
            <w:rPr>
              <w:rFonts w:ascii="Cambria Math" w:hAnsi="Cambria Math"/>
              <w:sz w:val="20"/>
              <w:szCs w:val="20"/>
            </w:rPr>
            <w:br/>
          </m:r>
        </m:oMath>
      </m:oMathPara>
    </w:p>
    <w:p w14:paraId="0E0449A2" w14:textId="77777777" w:rsidR="00D60667" w:rsidRPr="00E23A38" w:rsidRDefault="00D60667" w:rsidP="00472C6C">
      <w:pPr>
        <w:spacing w:before="80" w:after="140" w:line="216" w:lineRule="auto"/>
        <w:jc w:val="both"/>
        <w:rPr>
          <w:rFonts w:asciiTheme="minorHAnsi" w:hAnsiTheme="minorHAnsi"/>
          <w:sz w:val="20"/>
          <w:szCs w:val="20"/>
        </w:rPr>
      </w:pPr>
      <m:oMathPara>
        <m:oMath>
          <m:r>
            <m:rPr>
              <m:nor/>
            </m:rPr>
            <w:rPr>
              <w:rFonts w:asciiTheme="minorHAnsi" w:hAnsiTheme="minorHAnsi"/>
              <w:sz w:val="20"/>
              <w:szCs w:val="20"/>
            </w:rPr>
            <w:lastRenderedPageBreak/>
            <m:t>Max Deviation</m:t>
          </m:r>
          <m:r>
            <w:rPr>
              <w:rFonts w:ascii="Cambria Math" w:hAnsi="Cambria Math"/>
              <w:sz w:val="20"/>
              <w:szCs w:val="20"/>
            </w:rPr>
            <m:t>=</m:t>
          </m:r>
          <m:limLow>
            <m:limLowPr>
              <m:ctrlPr>
                <w:rPr>
                  <w:rFonts w:ascii="Cambria Math" w:hAnsi="Cambria Math"/>
                  <w:sz w:val="20"/>
                  <w:szCs w:val="20"/>
                </w:rPr>
              </m:ctrlPr>
            </m:limLowPr>
            <m:e>
              <m:r>
                <m:rPr>
                  <m:sty m:val="p"/>
                </m:rPr>
                <w:rPr>
                  <w:rFonts w:ascii="Cambria Math" w:hAnsi="Cambria Math"/>
                  <w:sz w:val="20"/>
                  <w:szCs w:val="20"/>
                </w:rPr>
                <m:t>max</m:t>
              </m:r>
              <m:r>
                <w:rPr>
                  <w:rFonts w:ascii="Cambria Math" w:hAnsi="Cambria Math"/>
                  <w:sz w:val="20"/>
                  <w:szCs w:val="20"/>
                </w:rPr>
                <m:t>⁡</m:t>
              </m:r>
            </m:e>
            <m:lim>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lim>
          </m:limLow>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s</m:t>
              </m:r>
            </m:sub>
          </m:sSub>
          <m:r>
            <w:rPr>
              <w:rFonts w:ascii="Cambria Math" w:hAnsi="Cambria Math"/>
              <w:sz w:val="20"/>
              <w:szCs w:val="20"/>
            </w:rPr>
            <m:t>,</m:t>
          </m:r>
          <m:r>
            <m:rPr>
              <m:nor/>
            </m:rPr>
            <w:rPr>
              <w:rFonts w:asciiTheme="minorHAnsi" w:hAnsiTheme="minorHAnsi"/>
              <w:sz w:val="20"/>
              <w:szCs w:val="20"/>
            </w:rPr>
            <m:t>dev_min</m:t>
          </m:r>
          <m:r>
            <w:rPr>
              <w:rFonts w:ascii="Cambria Math" w:hAnsi="Cambria Math"/>
              <w:sz w:val="20"/>
              <w:szCs w:val="20"/>
            </w:rPr>
            <m:t>=</m:t>
          </m:r>
          <m:limLow>
            <m:limLowPr>
              <m:ctrlPr>
                <w:rPr>
                  <w:rFonts w:ascii="Cambria Math" w:hAnsi="Cambria Math"/>
                  <w:sz w:val="20"/>
                  <w:szCs w:val="20"/>
                </w:rPr>
              </m:ctrlPr>
            </m:limLowPr>
            <m:e>
              <m:r>
                <m:rPr>
                  <m:sty m:val="p"/>
                </m:rPr>
                <w:rPr>
                  <w:rFonts w:ascii="Cambria Math" w:hAnsi="Cambria Math"/>
                  <w:sz w:val="20"/>
                  <w:szCs w:val="20"/>
                </w:rPr>
                <m:t>min</m:t>
              </m:r>
              <m:r>
                <w:rPr>
                  <w:rFonts w:ascii="Cambria Math" w:hAnsi="Cambria Math"/>
                  <w:sz w:val="20"/>
                  <w:szCs w:val="20"/>
                </w:rPr>
                <m:t>⁡</m:t>
              </m:r>
            </m:e>
            <m:lim>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lim>
          </m:limLow>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s</m:t>
              </m:r>
            </m:sub>
          </m:sSub>
          <m:r>
            <m:rPr>
              <m:sty m:val="p"/>
            </m:rPr>
            <w:rPr>
              <w:rFonts w:ascii="Cambria Math" w:hAnsi="Cambria Math"/>
              <w:sz w:val="20"/>
              <w:szCs w:val="20"/>
            </w:rPr>
            <w:br/>
          </m:r>
        </m:oMath>
      </m:oMathPara>
    </w:p>
    <w:p w14:paraId="55897C41" w14:textId="77777777" w:rsidR="00D60667" w:rsidRPr="00E23A38" w:rsidRDefault="00D60667" w:rsidP="00472C6C">
      <w:pPr>
        <w:pStyle w:val="ListParagraph"/>
        <w:numPr>
          <w:ilvl w:val="0"/>
          <w:numId w:val="6"/>
        </w:numPr>
        <w:spacing w:before="80" w:after="140" w:line="216" w:lineRule="auto"/>
        <w:jc w:val="both"/>
        <w:rPr>
          <w:rFonts w:asciiTheme="minorHAnsi" w:hAnsiTheme="minorHAnsi"/>
          <w:sz w:val="20"/>
          <w:szCs w:val="20"/>
        </w:rPr>
      </w:pPr>
      <w:r w:rsidRPr="00E23A38">
        <w:rPr>
          <w:rFonts w:asciiTheme="minorHAnsi" w:hAnsiTheme="minorHAnsi"/>
          <w:b/>
          <w:bCs/>
          <w:sz w:val="20"/>
          <w:szCs w:val="20"/>
        </w:rPr>
        <w:t>Rate-of-Change of Frequency (</w:t>
      </w:r>
      <w:proofErr w:type="spellStart"/>
      <w:r w:rsidRPr="00E23A38">
        <w:rPr>
          <w:rFonts w:asciiTheme="minorHAnsi" w:hAnsiTheme="minorHAnsi"/>
          <w:b/>
          <w:bCs/>
          <w:sz w:val="20"/>
          <w:szCs w:val="20"/>
        </w:rPr>
        <w:t>RoCoF</w:t>
      </w:r>
      <w:proofErr w:type="spellEnd"/>
      <w:r w:rsidRPr="00E23A38">
        <w:rPr>
          <w:rFonts w:asciiTheme="minorHAnsi" w:hAnsiTheme="minorHAnsi"/>
          <w:b/>
          <w:bCs/>
          <w:sz w:val="20"/>
          <w:szCs w:val="20"/>
        </w:rPr>
        <w:t>):</w:t>
      </w:r>
      <w:r w:rsidRPr="00E23A38">
        <w:rPr>
          <w:rFonts w:asciiTheme="minorHAnsi" w:hAnsiTheme="minorHAnsi"/>
          <w:sz w:val="20"/>
          <w:szCs w:val="20"/>
        </w:rPr>
        <w:t xml:space="preserv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xml:space="preserve"> is approximated using first differences of the frequency series. From this, summary statistics such as maximum absolute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xml:space="preserve">, mean absolute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xml:space="preserve">, standard deviation, and counts of large </w:t>
      </w:r>
      <w:proofErr w:type="spellStart"/>
      <w:r w:rsidRPr="00E23A38">
        <w:rPr>
          <w:rFonts w:asciiTheme="minorHAnsi" w:hAnsiTheme="minorHAnsi"/>
          <w:sz w:val="20"/>
          <w:szCs w:val="20"/>
        </w:rPr>
        <w:t>RoCoF</w:t>
      </w:r>
      <w:proofErr w:type="spellEnd"/>
      <w:r w:rsidRPr="00E23A38">
        <w:rPr>
          <w:rFonts w:asciiTheme="minorHAnsi" w:hAnsiTheme="minorHAnsi"/>
          <w:sz w:val="20"/>
          <w:szCs w:val="20"/>
        </w:rPr>
        <w:t xml:space="preserve"> events are computed over each interval to capture abrupt system stress events.</w:t>
      </w:r>
    </w:p>
    <w:p w14:paraId="1670B07E" w14:textId="77777777" w:rsidR="00D60667" w:rsidRPr="00E23A38" w:rsidRDefault="00000000" w:rsidP="00472C6C">
      <w:pPr>
        <w:spacing w:before="80" w:after="140" w:line="216" w:lineRule="auto"/>
        <w:jc w:val="both"/>
        <w:rPr>
          <w:rFonts w:asciiTheme="minorHAnsi" w:hAnsiTheme="minorHAnsi"/>
          <w:sz w:val="20"/>
          <w:szCs w:val="20"/>
        </w:rPr>
      </w:pPr>
      <m:oMathPara>
        <m:oMath>
          <m:sSub>
            <m:sSubPr>
              <m:ctrlPr>
                <w:rPr>
                  <w:rFonts w:ascii="Cambria Math" w:hAnsi="Cambria Math"/>
                  <w:sz w:val="20"/>
                  <w:szCs w:val="20"/>
                </w:rPr>
              </m:ctrlPr>
            </m:sSubPr>
            <m:e>
              <m:r>
                <m:rPr>
                  <m:nor/>
                </m:rPr>
                <w:rPr>
                  <w:rFonts w:asciiTheme="minorHAnsi" w:hAnsiTheme="minorHAnsi"/>
                  <w:sz w:val="20"/>
                  <w:szCs w:val="20"/>
                </w:rPr>
                <m:t>RoCoF</m:t>
              </m:r>
            </m:e>
            <m:sub>
              <m:r>
                <w:rPr>
                  <w:rFonts w:ascii="Cambria Math" w:hAnsi="Cambria Math"/>
                  <w:sz w:val="20"/>
                  <w:szCs w:val="20"/>
                </w:rPr>
                <m:t>s</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s</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s-1</m:t>
              </m:r>
            </m:sub>
          </m:sSub>
          <m:r>
            <m:rPr>
              <m:sty m:val="p"/>
            </m:rPr>
            <w:rPr>
              <w:rFonts w:ascii="Cambria Math" w:hAnsi="Cambria Math"/>
              <w:sz w:val="20"/>
              <w:szCs w:val="20"/>
            </w:rPr>
            <w:br/>
          </m:r>
        </m:oMath>
      </m:oMathPara>
    </w:p>
    <w:p w14:paraId="7C2F944E" w14:textId="77777777" w:rsidR="00D60667" w:rsidRPr="00E23A38" w:rsidRDefault="00D60667" w:rsidP="00472C6C">
      <w:pPr>
        <w:pStyle w:val="ListParagraph"/>
        <w:numPr>
          <w:ilvl w:val="0"/>
          <w:numId w:val="6"/>
        </w:numPr>
        <w:spacing w:before="80" w:after="140" w:line="216" w:lineRule="auto"/>
        <w:jc w:val="both"/>
        <w:rPr>
          <w:rFonts w:asciiTheme="minorHAnsi" w:hAnsiTheme="minorHAnsi"/>
          <w:sz w:val="20"/>
          <w:szCs w:val="20"/>
        </w:rPr>
      </w:pPr>
      <w:r w:rsidRPr="00E23A38">
        <w:rPr>
          <w:rFonts w:asciiTheme="minorHAnsi" w:hAnsiTheme="minorHAnsi"/>
          <w:b/>
          <w:bCs/>
          <w:sz w:val="20"/>
          <w:szCs w:val="20"/>
        </w:rPr>
        <w:t>Depth of excursions:</w:t>
      </w:r>
      <w:r w:rsidRPr="00E23A38">
        <w:rPr>
          <w:rFonts w:asciiTheme="minorHAnsi" w:hAnsiTheme="minorHAnsi"/>
          <w:sz w:val="20"/>
          <w:szCs w:val="20"/>
        </w:rPr>
        <w:t xml:space="preserve"> excursions are defined as deviations beyond normal operating bounds</w:t>
      </w:r>
      <w:r>
        <w:rPr>
          <w:rFonts w:asciiTheme="minorHAnsi" w:hAnsiTheme="minorHAnsi"/>
          <w:sz w:val="20"/>
          <w:szCs w:val="20"/>
        </w:rPr>
        <w:t xml:space="preserve"> </w:t>
      </w:r>
      <w:r w:rsidRPr="007549CA">
        <w:rPr>
          <w:rFonts w:asciiTheme="minorHAnsi" w:hAnsiTheme="minorHAnsi"/>
          <w:sz w:val="20"/>
          <w:szCs w:val="20"/>
        </w:rPr>
        <w:t>defined as ±0.05 Hz around 50 Hz</w:t>
      </w:r>
      <w:r>
        <w:rPr>
          <w:rFonts w:asciiTheme="minorHAnsi" w:hAnsiTheme="minorHAnsi"/>
          <w:sz w:val="20"/>
          <w:szCs w:val="20"/>
        </w:rPr>
        <w:t xml:space="preserve"> [1] [7]</w:t>
      </w:r>
      <w:r w:rsidRPr="00E23A38">
        <w:rPr>
          <w:rFonts w:asciiTheme="minorHAnsi" w:hAnsiTheme="minorHAnsi"/>
          <w:sz w:val="20"/>
          <w:szCs w:val="20"/>
        </w:rPr>
        <w:t xml:space="preserve">. For each interval, features such as the maximum and minimum frequency values as well as counts of mild and deep excursions (based on predefined deviation thresholds) are used to measure the severity and persistence of </w:t>
      </w:r>
      <w:proofErr w:type="gramStart"/>
      <w:r w:rsidRPr="00E23A38">
        <w:rPr>
          <w:rFonts w:asciiTheme="minorHAnsi" w:hAnsiTheme="minorHAnsi"/>
          <w:sz w:val="20"/>
          <w:szCs w:val="20"/>
        </w:rPr>
        <w:t>short-duration</w:t>
      </w:r>
      <w:proofErr w:type="gramEnd"/>
      <w:r w:rsidRPr="00E23A38">
        <w:rPr>
          <w:rFonts w:asciiTheme="minorHAnsi" w:hAnsiTheme="minorHAnsi"/>
          <w:sz w:val="20"/>
          <w:szCs w:val="20"/>
        </w:rPr>
        <w:t xml:space="preserve"> but impactful imbalances.</w:t>
      </w:r>
    </w:p>
    <w:p w14:paraId="48597FED" w14:textId="77777777" w:rsidR="00D60667" w:rsidRPr="00E23A38" w:rsidRDefault="00000000" w:rsidP="00472C6C">
      <w:pPr>
        <w:spacing w:before="80" w:after="140" w:line="216" w:lineRule="auto"/>
        <w:jc w:val="both"/>
        <w:rPr>
          <w:rFonts w:asciiTheme="minorHAnsi" w:hAnsiTheme="minorHAnsi"/>
          <w:sz w:val="20"/>
          <w:szCs w:val="20"/>
        </w:rPr>
      </w:pPr>
      <m:oMathPara>
        <m:oMath>
          <m:limLow>
            <m:limLowPr>
              <m:ctrlPr>
                <w:rPr>
                  <w:rFonts w:ascii="Cambria Math" w:hAnsi="Cambria Math"/>
                  <w:sz w:val="20"/>
                  <w:szCs w:val="20"/>
                </w:rPr>
              </m:ctrlPr>
            </m:limLowPr>
            <m:e>
              <m:r>
                <m:rPr>
                  <m:sty m:val="p"/>
                </m:rPr>
                <w:rPr>
                  <w:rFonts w:ascii="Cambria Math" w:hAnsi="Cambria Math"/>
                  <w:sz w:val="20"/>
                  <w:szCs w:val="20"/>
                </w:rPr>
                <m:t>max</m:t>
              </m:r>
              <m:r>
                <w:rPr>
                  <w:rFonts w:ascii="Cambria Math" w:hAnsi="Cambria Math"/>
                  <w:sz w:val="20"/>
                  <w:szCs w:val="20"/>
                </w:rPr>
                <m:t>⁡</m:t>
              </m:r>
            </m:e>
            <m:lim>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lim>
          </m:limLow>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s</m:t>
              </m:r>
            </m:sub>
          </m:sSub>
          <m:r>
            <w:rPr>
              <w:rFonts w:ascii="Cambria Math" w:hAnsi="Cambria Math"/>
              <w:sz w:val="20"/>
              <w:szCs w:val="20"/>
            </w:rPr>
            <m:t>,</m:t>
          </m:r>
          <m:limLow>
            <m:limLowPr>
              <m:ctrlPr>
                <w:rPr>
                  <w:rFonts w:ascii="Cambria Math" w:hAnsi="Cambria Math"/>
                  <w:sz w:val="20"/>
                  <w:szCs w:val="20"/>
                </w:rPr>
              </m:ctrlPr>
            </m:limLowPr>
            <m:e>
              <m:r>
                <m:rPr>
                  <m:sty m:val="p"/>
                </m:rPr>
                <w:rPr>
                  <w:rFonts w:ascii="Cambria Math" w:hAnsi="Cambria Math"/>
                  <w:sz w:val="20"/>
                  <w:szCs w:val="20"/>
                </w:rPr>
                <m:t>min</m:t>
              </m:r>
              <m:r>
                <w:rPr>
                  <w:rFonts w:ascii="Cambria Math" w:hAnsi="Cambria Math"/>
                  <w:sz w:val="20"/>
                  <w:szCs w:val="20"/>
                </w:rPr>
                <m:t>⁡</m:t>
              </m:r>
            </m:e>
            <m:lim>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lim>
          </m:limLow>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s</m:t>
              </m:r>
            </m:sub>
          </m:sSub>
          <m:r>
            <m:rPr>
              <m:sty m:val="p"/>
            </m:rPr>
            <w:rPr>
              <w:rFonts w:ascii="Cambria Math" w:hAnsi="Cambria Math"/>
              <w:sz w:val="20"/>
              <w:szCs w:val="20"/>
            </w:rPr>
            <w:br/>
          </m:r>
        </m:oMath>
      </m:oMathPara>
    </w:p>
    <w:p w14:paraId="2C8D9039" w14:textId="4EE88842" w:rsidR="00D60667" w:rsidRPr="00E23A38" w:rsidRDefault="00D60667" w:rsidP="00472C6C">
      <w:pPr>
        <w:pStyle w:val="ListParagraph"/>
        <w:numPr>
          <w:ilvl w:val="0"/>
          <w:numId w:val="6"/>
        </w:numPr>
        <w:spacing w:before="80" w:after="140" w:line="216" w:lineRule="auto"/>
        <w:jc w:val="both"/>
        <w:rPr>
          <w:rFonts w:asciiTheme="minorHAnsi" w:hAnsiTheme="minorHAnsi"/>
          <w:sz w:val="20"/>
          <w:szCs w:val="20"/>
        </w:rPr>
      </w:pPr>
      <w:r w:rsidRPr="00E23A38">
        <w:rPr>
          <w:rFonts w:asciiTheme="minorHAnsi" w:hAnsiTheme="minorHAnsi"/>
          <w:b/>
          <w:bCs/>
          <w:sz w:val="20"/>
          <w:szCs w:val="20"/>
        </w:rPr>
        <w:t>Short-ter</w:t>
      </w:r>
      <w:r w:rsidR="00EA4F37">
        <w:rPr>
          <w:rFonts w:asciiTheme="minorHAnsi" w:hAnsiTheme="minorHAnsi"/>
          <w:b/>
          <w:bCs/>
          <w:sz w:val="20"/>
          <w:szCs w:val="20"/>
        </w:rPr>
        <w:t xml:space="preserve">m </w:t>
      </w:r>
      <w:r w:rsidRPr="00E23A38">
        <w:rPr>
          <w:rFonts w:asciiTheme="minorHAnsi" w:hAnsiTheme="minorHAnsi"/>
          <w:b/>
          <w:bCs/>
          <w:sz w:val="20"/>
          <w:szCs w:val="20"/>
        </w:rPr>
        <w:t>volatility:</w:t>
      </w:r>
      <w:r w:rsidRPr="00E23A38">
        <w:rPr>
          <w:rFonts w:asciiTheme="minorHAnsi" w:hAnsiTheme="minorHAnsi"/>
          <w:sz w:val="20"/>
          <w:szCs w:val="20"/>
        </w:rPr>
        <w:t xml:space="preserve"> intra-interval volatility is measured using statistical summaries of </w:t>
      </w:r>
      <m:oMath>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s</m:t>
            </m:r>
          </m:sub>
        </m:sSub>
      </m:oMath>
      <w:r w:rsidRPr="00E23A38">
        <w:rPr>
          <w:rFonts w:asciiTheme="minorHAnsi" w:hAnsiTheme="minorHAnsi"/>
          <w:sz w:val="20"/>
          <w:szCs w:val="20"/>
        </w:rPr>
        <w:t>, including variance along with higher-order moments such as skewness, kurtosis, and entropy, capturing the distributional characteristics of frequency fluctuations within the interval.</w:t>
      </w:r>
    </w:p>
    <w:p w14:paraId="4DE2AE7A" w14:textId="77777777" w:rsidR="00D60667" w:rsidRPr="00E23A38" w:rsidRDefault="00D60667" w:rsidP="00472C6C">
      <w:pPr>
        <w:spacing w:before="80" w:after="140" w:line="216" w:lineRule="auto"/>
        <w:jc w:val="both"/>
        <w:rPr>
          <w:rFonts w:asciiTheme="minorHAnsi" w:hAnsiTheme="minorHAnsi"/>
          <w:sz w:val="20"/>
          <w:szCs w:val="20"/>
        </w:rPr>
      </w:pPr>
      <m:oMathPara>
        <m:oMath>
          <m:r>
            <m:rPr>
              <m:nor/>
            </m:rPr>
            <w:rPr>
              <w:rFonts w:asciiTheme="minorHAnsi" w:hAnsiTheme="minorHAnsi"/>
              <w:sz w:val="20"/>
              <w:szCs w:val="20"/>
            </w:rPr>
            <m:t>var</m:t>
          </m:r>
          <m:r>
            <w:rPr>
              <w:rFonts w:ascii="Cambria Math" w:hAnsi="Cambria Math"/>
              <w:sz w:val="20"/>
              <w:szCs w:val="20"/>
            </w:rPr>
            <m:t>=</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grow m:val="1"/>
              <m:supHide m:val="1"/>
              <m:ctrlPr>
                <w:rPr>
                  <w:rFonts w:ascii="Cambria Math" w:hAnsi="Cambria Math"/>
                  <w:sz w:val="20"/>
                  <w:szCs w:val="20"/>
                </w:rPr>
              </m:ctrlPr>
            </m:naryPr>
            <m:sub>
              <m:r>
                <w:rPr>
                  <w:rFonts w:ascii="Cambria Math" w:hAnsi="Cambria Math"/>
                  <w:sz w:val="20"/>
                  <w:szCs w:val="20"/>
                </w:rPr>
                <m:t>s∈</m:t>
              </m:r>
              <m:sSub>
                <m:sSubPr>
                  <m:ctrlPr>
                    <w:rPr>
                      <w:rFonts w:ascii="Cambria Math" w:hAnsi="Cambria Math"/>
                      <w:sz w:val="20"/>
                      <w:szCs w:val="20"/>
                    </w:rPr>
                  </m:ctrlPr>
                </m:sSubPr>
                <m:e>
                  <m:r>
                    <w:rPr>
                      <w:rFonts w:ascii="Cambria Math" w:hAnsi="Cambria Math"/>
                      <w:sz w:val="20"/>
                      <w:szCs w:val="20"/>
                    </w:rPr>
                    <m:t>I</m:t>
                  </m:r>
                </m:e>
                <m:sub>
                  <m:r>
                    <w:rPr>
                      <w:rFonts w:ascii="Cambria Math" w:hAnsi="Cambria Math"/>
                      <w:sz w:val="20"/>
                      <w:szCs w:val="20"/>
                    </w:rPr>
                    <m:t>t</m:t>
                  </m:r>
                </m:sub>
              </m:sSub>
            </m:sub>
            <m:sup/>
            <m:e>
              <m:r>
                <w:rPr>
                  <w:rFonts w:ascii="Cambria Math" w:hAnsi="Cambria Math"/>
                  <w:sz w:val="20"/>
                  <w:szCs w:val="20"/>
                </w:rPr>
                <m:t>(</m:t>
              </m:r>
            </m:e>
          </m:nary>
          <m:sSub>
            <m:sSubPr>
              <m:ctrlPr>
                <w:rPr>
                  <w:rFonts w:ascii="Cambria Math" w:hAnsi="Cambria Math"/>
                  <w:sz w:val="20"/>
                  <w:szCs w:val="20"/>
                </w:rPr>
              </m:ctrlPr>
            </m:sSubPr>
            <m:e>
              <m:r>
                <w:rPr>
                  <w:rFonts w:ascii="Cambria Math" w:hAnsi="Cambria Math"/>
                  <w:sz w:val="20"/>
                  <w:szCs w:val="20"/>
                </w:rPr>
                <m:t>d</m:t>
              </m:r>
            </m:e>
            <m:sub>
              <m:r>
                <w:rPr>
                  <w:rFonts w:ascii="Cambria Math" w:hAnsi="Cambria Math"/>
                  <w:sz w:val="20"/>
                  <w:szCs w:val="20"/>
                </w:rPr>
                <m:t>s</m:t>
              </m:r>
            </m:sub>
          </m:sSub>
          <m:r>
            <w:rPr>
              <w:rFonts w:ascii="Cambria Math" w:hAnsi="Cambria Math"/>
              <w:sz w:val="20"/>
              <w:szCs w:val="20"/>
            </w:rPr>
            <m:t>-</m:t>
          </m:r>
          <m:acc>
            <m:accPr>
              <m:chr m:val="ˉ"/>
              <m:ctrlPr>
                <w:rPr>
                  <w:rFonts w:ascii="Cambria Math" w:hAnsi="Cambria Math"/>
                  <w:sz w:val="20"/>
                  <w:szCs w:val="20"/>
                </w:rPr>
              </m:ctrlPr>
            </m:accPr>
            <m:e>
              <m:r>
                <w:rPr>
                  <w:rFonts w:ascii="Cambria Math" w:hAnsi="Cambria Math"/>
                  <w:sz w:val="20"/>
                  <w:szCs w:val="20"/>
                </w:rPr>
                <m:t>d</m:t>
              </m:r>
            </m:e>
          </m:acc>
          <m:sSup>
            <m:sSupPr>
              <m:ctrlPr>
                <w:rPr>
                  <w:rFonts w:ascii="Cambria Math" w:hAnsi="Cambria Math"/>
                  <w:sz w:val="20"/>
                  <w:szCs w:val="20"/>
                </w:rPr>
              </m:ctrlPr>
            </m:sSupPr>
            <m:e>
              <m:r>
                <w:rPr>
                  <w:rFonts w:ascii="Cambria Math" w:hAnsi="Cambria Math"/>
                  <w:sz w:val="20"/>
                  <w:szCs w:val="20"/>
                </w:rPr>
                <m:t>)</m:t>
              </m:r>
            </m:e>
            <m:sup>
              <m:r>
                <w:rPr>
                  <w:rFonts w:ascii="Cambria Math" w:hAnsi="Cambria Math"/>
                  <w:sz w:val="20"/>
                  <w:szCs w:val="20"/>
                </w:rPr>
                <m:t>2</m:t>
              </m:r>
            </m:sup>
          </m:sSup>
          <m:r>
            <m:rPr>
              <m:sty m:val="p"/>
            </m:rPr>
            <w:rPr>
              <w:rFonts w:ascii="Cambria Math" w:hAnsi="Cambria Math"/>
              <w:sz w:val="20"/>
              <w:szCs w:val="20"/>
            </w:rPr>
            <w:br/>
          </m:r>
        </m:oMath>
      </m:oMathPara>
    </w:p>
    <w:p w14:paraId="0C4C5B03" w14:textId="77777777" w:rsidR="00D60667" w:rsidRPr="00E23A38" w:rsidRDefault="00D60667" w:rsidP="00472C6C">
      <w:pPr>
        <w:pStyle w:val="ListParagraph"/>
        <w:numPr>
          <w:ilvl w:val="0"/>
          <w:numId w:val="6"/>
        </w:numPr>
        <w:spacing w:before="80" w:after="140" w:line="216" w:lineRule="auto"/>
        <w:jc w:val="both"/>
        <w:rPr>
          <w:rFonts w:asciiTheme="minorHAnsi" w:hAnsiTheme="minorHAnsi"/>
          <w:sz w:val="20"/>
          <w:szCs w:val="20"/>
        </w:rPr>
      </w:pPr>
      <w:r w:rsidRPr="00E23A38">
        <w:rPr>
          <w:rFonts w:asciiTheme="minorHAnsi" w:hAnsiTheme="minorHAnsi"/>
          <w:b/>
          <w:bCs/>
          <w:sz w:val="20"/>
          <w:szCs w:val="20"/>
        </w:rPr>
        <w:t>Recovery dynamics:</w:t>
      </w:r>
      <w:r w:rsidRPr="00E23A38">
        <w:rPr>
          <w:rFonts w:asciiTheme="minorHAnsi" w:hAnsiTheme="minorHAnsi"/>
          <w:sz w:val="20"/>
          <w:szCs w:val="20"/>
        </w:rPr>
        <w:t xml:space="preserve"> recovery features aim to capture how the system responds following large deviations. These include measures such as shock depth (maximum deviation within the interval), recovery time (the duration required for frequency to return within a tolerance band around nominal), and post-shock variance, which captures the variability following a disturbance.</w:t>
      </w:r>
    </w:p>
    <w:p w14:paraId="684C29A6"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This grouping of features into coherent families also simplifies ablation analysis, allowing each family to be removed in turn to evaluate its marginal contribution to model performance across all prediction tasks.</w:t>
      </w:r>
    </w:p>
    <w:p w14:paraId="4CE6C1E9" w14:textId="77777777" w:rsidR="00D60667" w:rsidRPr="00E23A38" w:rsidRDefault="00D60667" w:rsidP="00472C6C">
      <w:pPr>
        <w:pStyle w:val="Heading1"/>
        <w:pBdr>
          <w:bottom w:val="single" w:sz="6" w:space="4" w:color="2E75B6"/>
        </w:pBdr>
        <w:spacing w:line="216" w:lineRule="auto"/>
        <w:rPr>
          <w:rFonts w:asciiTheme="minorHAnsi" w:hAnsiTheme="minorHAnsi"/>
          <w:sz w:val="20"/>
          <w:szCs w:val="20"/>
        </w:rPr>
      </w:pPr>
      <w:r w:rsidRPr="00E23A38">
        <w:rPr>
          <w:rFonts w:asciiTheme="minorHAnsi" w:hAnsiTheme="minorHAnsi"/>
          <w:sz w:val="20"/>
          <w:szCs w:val="20"/>
        </w:rPr>
        <w:t>6. Experimental Design</w:t>
      </w:r>
    </w:p>
    <w:p w14:paraId="4BA9E41B" w14:textId="77777777" w:rsidR="00D60667" w:rsidRPr="00E23A38" w:rsidRDefault="00D60667" w:rsidP="00472C6C">
      <w:pPr>
        <w:pStyle w:val="Heading2"/>
        <w:spacing w:line="216" w:lineRule="auto"/>
        <w:rPr>
          <w:rFonts w:asciiTheme="minorHAnsi" w:hAnsiTheme="minorHAnsi"/>
          <w:sz w:val="20"/>
          <w:szCs w:val="20"/>
        </w:rPr>
      </w:pPr>
      <w:r w:rsidRPr="00E23A38">
        <w:rPr>
          <w:rFonts w:asciiTheme="minorHAnsi" w:hAnsiTheme="minorHAnsi"/>
          <w:sz w:val="20"/>
          <w:szCs w:val="20"/>
        </w:rPr>
        <w:t>6.1 Data Splits and Evaluation Protocol</w:t>
      </w:r>
    </w:p>
    <w:p w14:paraId="4FA0BF31"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All experiments are conducted with strictly time-ordered splits. I divide the obs</w:t>
      </w:r>
      <w:r w:rsidRPr="007549CA">
        <w:rPr>
          <w:rFonts w:asciiTheme="minorHAnsi" w:hAnsiTheme="minorHAnsi"/>
          <w:sz w:val="18"/>
          <w:szCs w:val="18"/>
        </w:rPr>
        <w:t>er</w:t>
      </w:r>
      <w:r w:rsidRPr="00E23A38">
        <w:rPr>
          <w:rFonts w:asciiTheme="minorHAnsi" w:hAnsiTheme="minorHAnsi"/>
          <w:sz w:val="20"/>
          <w:szCs w:val="20"/>
        </w:rPr>
        <w:t>vations by time at 15-minute intervals and apply filtering to maintain continuity. I do not apply any random shuffling, which would result in "leakage" due to lag features and overstate generalisation in a non-stationary market. For regression and regime classification problems, I apply an 80/20% chronological split. For rare-event binary classification problems, I apply a 70/10/20% split for training/validation/testing, with the validation set reserved only for threshold selection and early stopping.</w:t>
      </w:r>
    </w:p>
    <w:p w14:paraId="64D39D68"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To test temporal robustness more formally, I also conduct experiments to evaluate generalisation across multiple years. I apply this with both fixed-year and expanding window generalisation tests, including training </w:t>
      </w:r>
      <w:proofErr w:type="gramStart"/>
      <w:r w:rsidRPr="00E23A38">
        <w:rPr>
          <w:rFonts w:asciiTheme="minorHAnsi" w:hAnsiTheme="minorHAnsi"/>
          <w:sz w:val="20"/>
          <w:szCs w:val="20"/>
        </w:rPr>
        <w:t>on</w:t>
      </w:r>
      <w:proofErr w:type="gramEnd"/>
      <w:r w:rsidRPr="00E23A38">
        <w:rPr>
          <w:rFonts w:asciiTheme="minorHAnsi" w:hAnsiTheme="minorHAnsi"/>
          <w:sz w:val="20"/>
          <w:szCs w:val="20"/>
        </w:rPr>
        <w:t xml:space="preserve"> 2012 with testing on 2013, training on 2012-2015 with testing on 2016, and so forth. This tests if the relationships I find are robust across structural changes in the market, not just if they are good at predicting the period they were fit on.</w:t>
      </w:r>
    </w:p>
    <w:p w14:paraId="254A7A1F" w14:textId="77777777" w:rsidR="00D60667" w:rsidRPr="00E23A38" w:rsidRDefault="00D60667" w:rsidP="00472C6C">
      <w:pPr>
        <w:pStyle w:val="Heading2"/>
        <w:spacing w:line="216" w:lineRule="auto"/>
        <w:rPr>
          <w:rFonts w:asciiTheme="minorHAnsi" w:hAnsiTheme="minorHAnsi"/>
          <w:sz w:val="20"/>
          <w:szCs w:val="20"/>
        </w:rPr>
      </w:pPr>
      <w:r w:rsidRPr="00E23A38">
        <w:rPr>
          <w:rFonts w:asciiTheme="minorHAnsi" w:hAnsiTheme="minorHAnsi"/>
          <w:sz w:val="20"/>
          <w:szCs w:val="20"/>
        </w:rPr>
        <w:t>6.2 Model Architecture</w:t>
      </w:r>
    </w:p>
    <w:p w14:paraId="353BBAD9"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I use gradient-boosted decision trees, specifically the </w:t>
      </w:r>
      <w:proofErr w:type="spellStart"/>
      <w:r w:rsidRPr="00E23A38">
        <w:rPr>
          <w:rFonts w:asciiTheme="minorHAnsi" w:hAnsiTheme="minorHAnsi"/>
          <w:sz w:val="20"/>
          <w:szCs w:val="20"/>
        </w:rPr>
        <w:t>XGBoost</w:t>
      </w:r>
      <w:proofErr w:type="spellEnd"/>
      <w:r w:rsidRPr="00E23A38">
        <w:rPr>
          <w:rFonts w:asciiTheme="minorHAnsi" w:hAnsiTheme="minorHAnsi"/>
          <w:sz w:val="20"/>
          <w:szCs w:val="20"/>
        </w:rPr>
        <w:t xml:space="preserve"> library, across all tasks. </w:t>
      </w:r>
      <w:proofErr w:type="spellStart"/>
      <w:r w:rsidRPr="00E23A38">
        <w:rPr>
          <w:rFonts w:asciiTheme="minorHAnsi" w:hAnsiTheme="minorHAnsi"/>
          <w:sz w:val="20"/>
          <w:szCs w:val="20"/>
        </w:rPr>
        <w:t>XGBoost</w:t>
      </w:r>
      <w:proofErr w:type="spellEnd"/>
      <w:r w:rsidRPr="00E23A38">
        <w:rPr>
          <w:rFonts w:asciiTheme="minorHAnsi" w:hAnsiTheme="minorHAnsi"/>
          <w:sz w:val="20"/>
          <w:szCs w:val="20"/>
        </w:rPr>
        <w:t xml:space="preserve"> was selected because it is well suited to structured tabular data, is robust to differences in feature scale, and can capture non-linear interactions between market-derived variables and engineered frequency features. This is consistent with the wider electricity price forecasting literature, where tree-based ensemble models have shown strong performance on structured datasets [2], [3].</w:t>
      </w:r>
    </w:p>
    <w:p w14:paraId="4F7BEA87" w14:textId="59D6A891"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For the regression tasks, </w:t>
      </w:r>
      <w:proofErr w:type="spellStart"/>
      <w:r w:rsidRPr="00E23A38">
        <w:rPr>
          <w:rFonts w:asciiTheme="minorHAnsi" w:hAnsiTheme="minorHAnsi"/>
          <w:sz w:val="20"/>
          <w:szCs w:val="20"/>
        </w:rPr>
        <w:t>XGBoost</w:t>
      </w:r>
      <w:proofErr w:type="spellEnd"/>
      <w:r w:rsidRPr="00E23A38">
        <w:rPr>
          <w:rFonts w:asciiTheme="minorHAnsi" w:hAnsiTheme="minorHAnsi"/>
          <w:sz w:val="20"/>
          <w:szCs w:val="20"/>
        </w:rPr>
        <w:t xml:space="preserve"> regressors are used with 300 trees, maximum depth 6, learning rate 0.05, subsample ratio 0.8, and column subsample ratio 0.8. For the binary spike-classification tasks, the model uses the binary logistic objective with maximum depth 6, learning rate 0.02, subsample ratio 0.8, column subsample ratio 0.8, and up to 2000 boosting rounds with early stopping after 100 rounds without </w:t>
      </w:r>
      <w:r w:rsidRPr="00E23A38">
        <w:rPr>
          <w:rFonts w:asciiTheme="minorHAnsi" w:hAnsiTheme="minorHAnsi"/>
          <w:sz w:val="20"/>
          <w:szCs w:val="20"/>
        </w:rPr>
        <w:lastRenderedPageBreak/>
        <w:t>validation improvement. For volatility regime classification, a multiclass soft-probability classifier is used with 400 trees, maximum depth 5, learning rate 0.05, subsample ratio 0.8, and column subsample ratio 0.8. Random seeds are fixed at 42 throughout for reproducibility.</w:t>
      </w:r>
      <w:r w:rsidR="00B13871">
        <w:rPr>
          <w:rFonts w:asciiTheme="minorHAnsi" w:hAnsiTheme="minorHAnsi"/>
          <w:sz w:val="20"/>
          <w:szCs w:val="20"/>
        </w:rPr>
        <w:t xml:space="preserve"> </w:t>
      </w:r>
      <w:r w:rsidR="00B13871" w:rsidRPr="00B13871">
        <w:rPr>
          <w:rFonts w:asciiTheme="minorHAnsi" w:hAnsiTheme="minorHAnsi"/>
          <w:sz w:val="20"/>
          <w:szCs w:val="20"/>
        </w:rPr>
        <w:t>Early stopping after 100 rounds was used to limit overfitting while still allowing sufficient boosting iterations for the model to learn rare-event structure.</w:t>
      </w:r>
    </w:p>
    <w:p w14:paraId="16F19E56" w14:textId="768737EE"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Other model classes, such as neural networks and random forests, were considered but were not prioritised because the dataset is moderately sized, strongly tabular, and based on engineered features rather than raw unstructured inputs. In this setting, gradient-boosted trees provide a good balance between predictive performance, tuning efficiency, and interpretability. For the rare-event classification tasks, class imbalance is handled by under-sampling the training data to a 5:1 negative-to-positive ratio, and the final decision threshold is tuned on the validation set by maximising the F1-score of the positive class rather than fixed at 0.5. </w:t>
      </w:r>
      <w:r w:rsidR="00EA4F37" w:rsidRPr="00EA4F37">
        <w:rPr>
          <w:rFonts w:asciiTheme="minorHAnsi" w:hAnsiTheme="minorHAnsi"/>
          <w:sz w:val="20"/>
          <w:szCs w:val="20"/>
        </w:rPr>
        <w:t>The 5:1 ratio was chosen as a compromise between reducing the severe class imbalance and retaining enough negative examples to preserve class-separation structure during training.</w:t>
      </w:r>
    </w:p>
    <w:p w14:paraId="4E5402DD" w14:textId="77777777" w:rsidR="00D60667" w:rsidRPr="00E23A38" w:rsidRDefault="00D60667" w:rsidP="00472C6C">
      <w:pPr>
        <w:pStyle w:val="Heading2"/>
        <w:spacing w:line="216" w:lineRule="auto"/>
        <w:rPr>
          <w:rFonts w:asciiTheme="minorHAnsi" w:hAnsiTheme="minorHAnsi"/>
          <w:sz w:val="20"/>
          <w:szCs w:val="20"/>
        </w:rPr>
      </w:pPr>
      <w:r w:rsidRPr="00E23A38">
        <w:rPr>
          <w:rFonts w:asciiTheme="minorHAnsi" w:hAnsiTheme="minorHAnsi"/>
          <w:sz w:val="20"/>
          <w:szCs w:val="20"/>
        </w:rPr>
        <w:t>6.3 Baselines and Metrics</w:t>
      </w:r>
    </w:p>
    <w:p w14:paraId="07FEA5EA"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For each task, model performance is evaluated against simple but explicit benchmark baselines. For the regression tasks, three baselines are used. The last-value persistence baseline predicts the next interval price using the most recently observed value. The moving-average baseline predicts the next value using the mean of the most recent observations over a fixed trailing window. The ARIMA baseline is fit only on the training data using the historical price series and then rolled forward to generate out-of-sample forecasts.</w:t>
      </w:r>
    </w:p>
    <w:p w14:paraId="4F2FBC60"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For spike classification, three simple benchmark rules are used. The majority-class baseline always predicts the non-spike class. The random baseline predicts spike events according to the positive-class frequency observed in the training set. The last-price-rule baseline predicts a spike whenever the most recently observed price is itself in the spike region, giving a simple persistence-based event rule.</w:t>
      </w:r>
    </w:p>
    <w:p w14:paraId="755A9BD1"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For volatility regime classification, the baselines are the majority baseline, which always predicts the most common regime in the training set, the random baseline, which samples regimes according to the empirical class proportions in the training set, and the persistence baseline, which predicts that the next regime will be the same as the current one. All baseline definitions use only information available up to the prediction time </w:t>
      </w:r>
      <w:proofErr w:type="gramStart"/>
      <w:r w:rsidRPr="00E23A38">
        <w:rPr>
          <w:rFonts w:asciiTheme="minorHAnsi" w:hAnsiTheme="minorHAnsi"/>
          <w:sz w:val="20"/>
          <w:szCs w:val="20"/>
        </w:rPr>
        <w:t>in order to</w:t>
      </w:r>
      <w:proofErr w:type="gramEnd"/>
      <w:r w:rsidRPr="00E23A38">
        <w:rPr>
          <w:rFonts w:asciiTheme="minorHAnsi" w:hAnsiTheme="minorHAnsi"/>
          <w:sz w:val="20"/>
          <w:szCs w:val="20"/>
        </w:rPr>
        <w:t xml:space="preserve"> maintain a fair causal comparison.</w:t>
      </w:r>
    </w:p>
    <w:p w14:paraId="3018A52D"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These baselines are intentionally simple and are not heavily tuned, since their purpose is not to maximise benchmark performance but to provide transparent reference points for assessing whether the proposed models deliver meaningful gains over naive forecasting rules. This follows the general principle in electricity price forecasting that model improvements should be judged relative to clear and interpretable benchmark methods rather than only in absolute terms.</w:t>
      </w:r>
    </w:p>
    <w:p w14:paraId="3C8579C1"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Evaluation metrics are chosen to match the statistical nature of each task. For regression, MAE and RMSE are used, with RMSE treated as tail-sensitive due to the heavy-tailed distribution of reBAP prices. For binary classification, accuracy, precision, recall, F1-score, ROC AUC, and PR AUC are reported, with particular emphasis on recall and PR AUC due to class imbalance. For volatility regime classification, both macro F1 and weighted F1 are used to account for class imbalance across regimes.</w:t>
      </w:r>
    </w:p>
    <w:p w14:paraId="679CA2C0"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Reproducibility is ensured through fixed random seeds, deterministic time-based splits, and saved model artifacts. A unified preprocessing and modelling framework </w:t>
      </w:r>
      <w:proofErr w:type="gramStart"/>
      <w:r w:rsidRPr="00E23A38">
        <w:rPr>
          <w:rFonts w:asciiTheme="minorHAnsi" w:hAnsiTheme="minorHAnsi"/>
          <w:sz w:val="20"/>
          <w:szCs w:val="20"/>
        </w:rPr>
        <w:t>is</w:t>
      </w:r>
      <w:proofErr w:type="gramEnd"/>
      <w:r w:rsidRPr="00E23A38">
        <w:rPr>
          <w:rFonts w:asciiTheme="minorHAnsi" w:hAnsiTheme="minorHAnsi"/>
          <w:sz w:val="20"/>
          <w:szCs w:val="20"/>
        </w:rPr>
        <w:t xml:space="preserve"> used across all experiments, such that the only difference between the market-only and feature-augmented pipelines lies in the feature inputs. Any observed performance differences can therefore be attributed to the inclusion of frequency-derived features. A simple </w:t>
      </w:r>
      <w:proofErr w:type="spellStart"/>
      <w:r w:rsidRPr="00E23A38">
        <w:rPr>
          <w:rFonts w:asciiTheme="minorHAnsi" w:hAnsiTheme="minorHAnsi"/>
          <w:sz w:val="20"/>
          <w:szCs w:val="20"/>
        </w:rPr>
        <w:t>Streamlit</w:t>
      </w:r>
      <w:proofErr w:type="spellEnd"/>
      <w:r w:rsidRPr="00E23A38">
        <w:rPr>
          <w:rFonts w:asciiTheme="minorHAnsi" w:hAnsiTheme="minorHAnsi"/>
          <w:sz w:val="20"/>
          <w:szCs w:val="20"/>
        </w:rPr>
        <w:t xml:space="preserve"> dashboard is also developed to support inspection-time comparison of model outputs across tasks.7. Results and Findings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0667" w:rsidRPr="00E23A38" w14:paraId="031DDFC6" w14:textId="77777777" w:rsidTr="0001101B">
        <w:tc>
          <w:tcPr>
            <w:tcW w:w="9026" w:type="dxa"/>
            <w:tcBorders>
              <w:top w:val="single" w:sz="4" w:space="0" w:color="A7C6F1"/>
              <w:left w:val="single" w:sz="4" w:space="0" w:color="A7C6F1"/>
              <w:bottom w:val="single" w:sz="4" w:space="0" w:color="A7C6F1"/>
              <w:right w:val="single" w:sz="4" w:space="0" w:color="A7C6F1"/>
            </w:tcBorders>
            <w:shd w:val="clear" w:color="auto" w:fill="D6E4F0"/>
            <w:tcMar>
              <w:top w:w="120" w:type="dxa"/>
              <w:left w:w="180" w:type="dxa"/>
              <w:bottom w:w="120" w:type="dxa"/>
              <w:right w:w="120" w:type="dxa"/>
            </w:tcMar>
          </w:tcPr>
          <w:p w14:paraId="7F1C7E15" w14:textId="77777777" w:rsidR="00D60667" w:rsidRPr="00E23A38" w:rsidRDefault="00D60667" w:rsidP="00472C6C">
            <w:pPr>
              <w:spacing w:line="216" w:lineRule="auto"/>
              <w:rPr>
                <w:rFonts w:asciiTheme="minorHAnsi" w:hAnsiTheme="minorHAnsi"/>
                <w:sz w:val="20"/>
                <w:szCs w:val="20"/>
              </w:rPr>
            </w:pPr>
            <w:r w:rsidRPr="00E23A38">
              <w:rPr>
                <w:rFonts w:asciiTheme="minorHAnsi" w:hAnsiTheme="minorHAnsi"/>
                <w:sz w:val="20"/>
                <w:szCs w:val="20"/>
              </w:rPr>
              <w:t>Overall, frequency micro-signals provide limited improvement for predicting exact price magnitudes but meaningful gains for detecting rare extreme events. The strongest evidence of incremental value emerges in spike classification (+30% relative F1) and volatility spike detection (from near-zero F1 under market-only features to 0.449 with full features).</w:t>
            </w:r>
          </w:p>
        </w:tc>
      </w:tr>
    </w:tbl>
    <w:p w14:paraId="2C1E50E0" w14:textId="77777777" w:rsidR="00D60667" w:rsidRDefault="00D60667" w:rsidP="00472C6C">
      <w:pPr>
        <w:pStyle w:val="Heading2"/>
        <w:spacing w:line="216" w:lineRule="auto"/>
        <w:rPr>
          <w:rFonts w:asciiTheme="minorHAnsi" w:hAnsiTheme="minorHAnsi"/>
          <w:sz w:val="20"/>
          <w:szCs w:val="20"/>
        </w:rPr>
      </w:pPr>
      <w:r w:rsidRPr="00E23A38">
        <w:rPr>
          <w:rFonts w:asciiTheme="minorHAnsi" w:hAnsiTheme="minorHAnsi"/>
          <w:sz w:val="20"/>
          <w:szCs w:val="20"/>
        </w:rPr>
        <w:t>7.1 Price and Return Regression</w:t>
      </w:r>
    </w:p>
    <w:tbl>
      <w:tblPr>
        <w:tblStyle w:val="GridTable4-Accent1"/>
        <w:tblW w:w="8748" w:type="dxa"/>
        <w:tblLook w:val="04A0" w:firstRow="1" w:lastRow="0" w:firstColumn="1" w:lastColumn="0" w:noHBand="0" w:noVBand="1"/>
      </w:tblPr>
      <w:tblGrid>
        <w:gridCol w:w="3814"/>
        <w:gridCol w:w="1869"/>
        <w:gridCol w:w="1760"/>
        <w:gridCol w:w="1305"/>
      </w:tblGrid>
      <w:tr w:rsidR="00D60667" w:rsidRPr="00F53375" w14:paraId="177C756E" w14:textId="77777777" w:rsidTr="00C618F9">
        <w:trPr>
          <w:cnfStyle w:val="100000000000" w:firstRow="1" w:lastRow="0" w:firstColumn="0" w:lastColumn="0" w:oddVBand="0" w:evenVBand="0" w:oddHBand="0"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22115FB8" w14:textId="77777777" w:rsidR="00D60667" w:rsidRPr="00F53375" w:rsidRDefault="00D60667" w:rsidP="00472C6C">
            <w:pPr>
              <w:pStyle w:val="Heading2"/>
              <w:spacing w:line="216" w:lineRule="auto"/>
              <w:rPr>
                <w:rFonts w:asciiTheme="minorHAnsi" w:hAnsiTheme="minorHAnsi"/>
                <w:color w:val="FFFFFF" w:themeColor="background1"/>
                <w:sz w:val="20"/>
                <w:szCs w:val="20"/>
              </w:rPr>
            </w:pPr>
            <w:r w:rsidRPr="00F53375">
              <w:rPr>
                <w:rFonts w:asciiTheme="minorHAnsi" w:hAnsiTheme="minorHAnsi"/>
                <w:color w:val="FFFFFF" w:themeColor="background1"/>
                <w:sz w:val="20"/>
                <w:szCs w:val="20"/>
              </w:rPr>
              <w:t>Task</w:t>
            </w:r>
          </w:p>
        </w:tc>
        <w:tc>
          <w:tcPr>
            <w:tcW w:w="0" w:type="auto"/>
            <w:tcMar>
              <w:top w:w="0" w:type="dxa"/>
              <w:left w:w="28" w:type="dxa"/>
              <w:bottom w:w="0" w:type="dxa"/>
              <w:right w:w="28" w:type="dxa"/>
            </w:tcMar>
          </w:tcPr>
          <w:p w14:paraId="0F91E51F" w14:textId="77777777" w:rsidR="00D60667" w:rsidRPr="00F53375"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sidRPr="00F53375">
              <w:rPr>
                <w:rFonts w:asciiTheme="minorHAnsi" w:hAnsiTheme="minorHAnsi"/>
                <w:color w:val="FFFFFF" w:themeColor="background1"/>
                <w:sz w:val="20"/>
                <w:szCs w:val="20"/>
              </w:rPr>
              <w:t>Model</w:t>
            </w:r>
          </w:p>
        </w:tc>
        <w:tc>
          <w:tcPr>
            <w:tcW w:w="0" w:type="auto"/>
            <w:tcMar>
              <w:top w:w="0" w:type="dxa"/>
              <w:left w:w="28" w:type="dxa"/>
              <w:bottom w:w="0" w:type="dxa"/>
              <w:right w:w="28" w:type="dxa"/>
            </w:tcMar>
          </w:tcPr>
          <w:p w14:paraId="6B0F907B" w14:textId="77777777" w:rsidR="00D60667" w:rsidRPr="00F53375"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MAE</w:t>
            </w:r>
          </w:p>
        </w:tc>
        <w:tc>
          <w:tcPr>
            <w:tcW w:w="0" w:type="auto"/>
            <w:tcMar>
              <w:top w:w="0" w:type="dxa"/>
              <w:left w:w="28" w:type="dxa"/>
              <w:bottom w:w="0" w:type="dxa"/>
              <w:right w:w="28" w:type="dxa"/>
            </w:tcMar>
          </w:tcPr>
          <w:p w14:paraId="4F269DB1" w14:textId="77777777" w:rsidR="00D60667" w:rsidRPr="00F53375"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RMSE</w:t>
            </w:r>
          </w:p>
        </w:tc>
      </w:tr>
      <w:tr w:rsidR="00D60667" w:rsidRPr="00F53375" w14:paraId="74BA9810" w14:textId="77777777" w:rsidTr="00C618F9">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1CB1C68B" w14:textId="77777777" w:rsidR="00D60667" w:rsidRPr="00F53375" w:rsidRDefault="00D60667" w:rsidP="00472C6C">
            <w:pPr>
              <w:pStyle w:val="Heading2"/>
              <w:spacing w:line="216" w:lineRule="auto"/>
              <w:rPr>
                <w:rFonts w:asciiTheme="minorHAnsi" w:hAnsiTheme="minorHAnsi"/>
                <w:color w:val="000000" w:themeColor="text1"/>
                <w:sz w:val="20"/>
                <w:szCs w:val="20"/>
              </w:rPr>
            </w:pPr>
            <w:r w:rsidRPr="00F53375">
              <w:rPr>
                <w:rFonts w:asciiTheme="minorHAnsi" w:hAnsiTheme="minorHAnsi"/>
                <w:color w:val="000000" w:themeColor="text1"/>
                <w:sz w:val="20"/>
                <w:szCs w:val="20"/>
              </w:rPr>
              <w:lastRenderedPageBreak/>
              <w:t>Price Regression</w:t>
            </w:r>
          </w:p>
        </w:tc>
        <w:tc>
          <w:tcPr>
            <w:tcW w:w="0" w:type="auto"/>
            <w:tcMar>
              <w:top w:w="0" w:type="dxa"/>
              <w:left w:w="28" w:type="dxa"/>
              <w:bottom w:w="0" w:type="dxa"/>
              <w:right w:w="28" w:type="dxa"/>
            </w:tcMar>
          </w:tcPr>
          <w:p w14:paraId="6B1A8435"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Baseline</w:t>
            </w:r>
          </w:p>
        </w:tc>
        <w:tc>
          <w:tcPr>
            <w:tcW w:w="0" w:type="auto"/>
            <w:tcMar>
              <w:top w:w="0" w:type="dxa"/>
              <w:left w:w="28" w:type="dxa"/>
              <w:bottom w:w="0" w:type="dxa"/>
              <w:right w:w="28" w:type="dxa"/>
            </w:tcMar>
          </w:tcPr>
          <w:p w14:paraId="734ECA8E"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24.3092</w:t>
            </w:r>
          </w:p>
        </w:tc>
        <w:tc>
          <w:tcPr>
            <w:tcW w:w="0" w:type="auto"/>
            <w:tcMar>
              <w:top w:w="0" w:type="dxa"/>
              <w:left w:w="28" w:type="dxa"/>
              <w:bottom w:w="0" w:type="dxa"/>
              <w:right w:w="28" w:type="dxa"/>
            </w:tcMar>
          </w:tcPr>
          <w:p w14:paraId="30BD999B"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50.67</w:t>
            </w:r>
          </w:p>
        </w:tc>
      </w:tr>
      <w:tr w:rsidR="00D60667" w:rsidRPr="00F53375" w14:paraId="2522DE85" w14:textId="77777777" w:rsidTr="00C618F9">
        <w:trPr>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356885F7" w14:textId="77777777" w:rsidR="00D60667" w:rsidRPr="00F53375" w:rsidRDefault="00D60667" w:rsidP="00472C6C">
            <w:pPr>
              <w:pStyle w:val="Heading2"/>
              <w:spacing w:line="216" w:lineRule="auto"/>
              <w:rPr>
                <w:rFonts w:asciiTheme="minorHAnsi" w:hAnsiTheme="minorHAnsi"/>
                <w:color w:val="000000" w:themeColor="text1"/>
                <w:sz w:val="20"/>
                <w:szCs w:val="20"/>
              </w:rPr>
            </w:pPr>
          </w:p>
        </w:tc>
        <w:tc>
          <w:tcPr>
            <w:tcW w:w="0" w:type="auto"/>
            <w:tcMar>
              <w:top w:w="0" w:type="dxa"/>
              <w:left w:w="28" w:type="dxa"/>
              <w:bottom w:w="0" w:type="dxa"/>
              <w:right w:w="28" w:type="dxa"/>
            </w:tcMar>
          </w:tcPr>
          <w:p w14:paraId="05E81AA4"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Market</w:t>
            </w:r>
          </w:p>
        </w:tc>
        <w:tc>
          <w:tcPr>
            <w:tcW w:w="0" w:type="auto"/>
            <w:tcMar>
              <w:top w:w="0" w:type="dxa"/>
              <w:left w:w="28" w:type="dxa"/>
              <w:bottom w:w="0" w:type="dxa"/>
              <w:right w:w="28" w:type="dxa"/>
            </w:tcMar>
          </w:tcPr>
          <w:p w14:paraId="3452CB1D"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22.23</w:t>
            </w:r>
          </w:p>
        </w:tc>
        <w:tc>
          <w:tcPr>
            <w:tcW w:w="0" w:type="auto"/>
            <w:tcMar>
              <w:top w:w="0" w:type="dxa"/>
              <w:left w:w="28" w:type="dxa"/>
              <w:bottom w:w="0" w:type="dxa"/>
              <w:right w:w="28" w:type="dxa"/>
            </w:tcMar>
          </w:tcPr>
          <w:p w14:paraId="6746E097"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40.09</w:t>
            </w:r>
          </w:p>
        </w:tc>
      </w:tr>
      <w:tr w:rsidR="00D60667" w:rsidRPr="00F53375" w14:paraId="1A967806" w14:textId="77777777" w:rsidTr="00C618F9">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45BF49BE" w14:textId="77777777" w:rsidR="00D60667" w:rsidRPr="00F53375" w:rsidRDefault="00D60667" w:rsidP="00472C6C">
            <w:pPr>
              <w:pStyle w:val="Heading2"/>
              <w:spacing w:line="216" w:lineRule="auto"/>
              <w:rPr>
                <w:rFonts w:asciiTheme="minorHAnsi" w:hAnsiTheme="minorHAnsi"/>
                <w:color w:val="000000" w:themeColor="text1"/>
                <w:sz w:val="20"/>
                <w:szCs w:val="20"/>
              </w:rPr>
            </w:pPr>
          </w:p>
        </w:tc>
        <w:tc>
          <w:tcPr>
            <w:tcW w:w="0" w:type="auto"/>
            <w:tcMar>
              <w:top w:w="0" w:type="dxa"/>
              <w:left w:w="28" w:type="dxa"/>
              <w:bottom w:w="0" w:type="dxa"/>
              <w:right w:w="28" w:type="dxa"/>
            </w:tcMar>
          </w:tcPr>
          <w:p w14:paraId="567CC50E"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Full</w:t>
            </w:r>
          </w:p>
        </w:tc>
        <w:tc>
          <w:tcPr>
            <w:tcW w:w="0" w:type="auto"/>
            <w:tcMar>
              <w:top w:w="0" w:type="dxa"/>
              <w:left w:w="28" w:type="dxa"/>
              <w:bottom w:w="0" w:type="dxa"/>
              <w:right w:w="28" w:type="dxa"/>
            </w:tcMar>
          </w:tcPr>
          <w:p w14:paraId="0BA08B6C"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21.90</w:t>
            </w:r>
          </w:p>
        </w:tc>
        <w:tc>
          <w:tcPr>
            <w:tcW w:w="0" w:type="auto"/>
            <w:tcMar>
              <w:top w:w="0" w:type="dxa"/>
              <w:left w:w="28" w:type="dxa"/>
              <w:bottom w:w="0" w:type="dxa"/>
              <w:right w:w="28" w:type="dxa"/>
            </w:tcMar>
          </w:tcPr>
          <w:p w14:paraId="29115FD7"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45.51</w:t>
            </w:r>
          </w:p>
        </w:tc>
      </w:tr>
      <w:tr w:rsidR="00D60667" w:rsidRPr="00F53375" w14:paraId="1470AF29" w14:textId="77777777" w:rsidTr="00C618F9">
        <w:trPr>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19874B82" w14:textId="77777777" w:rsidR="00D60667" w:rsidRPr="00F53375" w:rsidRDefault="00D60667" w:rsidP="00472C6C">
            <w:pPr>
              <w:pStyle w:val="Heading2"/>
              <w:spacing w:line="216" w:lineRule="auto"/>
              <w:rPr>
                <w:rFonts w:asciiTheme="minorHAnsi" w:hAnsiTheme="minorHAnsi"/>
                <w:color w:val="000000" w:themeColor="text1"/>
                <w:sz w:val="20"/>
                <w:szCs w:val="20"/>
              </w:rPr>
            </w:pPr>
            <w:r>
              <w:rPr>
                <w:rFonts w:asciiTheme="minorHAnsi" w:hAnsiTheme="minorHAnsi"/>
                <w:color w:val="000000" w:themeColor="text1"/>
                <w:sz w:val="20"/>
                <w:szCs w:val="20"/>
              </w:rPr>
              <w:t>Return Regression</w:t>
            </w:r>
          </w:p>
        </w:tc>
        <w:tc>
          <w:tcPr>
            <w:tcW w:w="0" w:type="auto"/>
            <w:tcMar>
              <w:top w:w="0" w:type="dxa"/>
              <w:left w:w="28" w:type="dxa"/>
              <w:bottom w:w="0" w:type="dxa"/>
              <w:right w:w="28" w:type="dxa"/>
            </w:tcMar>
          </w:tcPr>
          <w:p w14:paraId="76687F15"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Baseline</w:t>
            </w:r>
          </w:p>
        </w:tc>
        <w:tc>
          <w:tcPr>
            <w:tcW w:w="0" w:type="auto"/>
            <w:tcMar>
              <w:top w:w="0" w:type="dxa"/>
              <w:left w:w="28" w:type="dxa"/>
              <w:bottom w:w="0" w:type="dxa"/>
              <w:right w:w="28" w:type="dxa"/>
            </w:tcMar>
          </w:tcPr>
          <w:p w14:paraId="21E04610"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3.111</w:t>
            </w:r>
          </w:p>
        </w:tc>
        <w:tc>
          <w:tcPr>
            <w:tcW w:w="0" w:type="auto"/>
            <w:tcMar>
              <w:top w:w="0" w:type="dxa"/>
              <w:left w:w="28" w:type="dxa"/>
              <w:bottom w:w="0" w:type="dxa"/>
              <w:right w:w="28" w:type="dxa"/>
            </w:tcMar>
          </w:tcPr>
          <w:p w14:paraId="33EC89D6"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43.28</w:t>
            </w:r>
          </w:p>
        </w:tc>
      </w:tr>
      <w:tr w:rsidR="00D60667" w:rsidRPr="00F53375" w14:paraId="060BE3BA" w14:textId="77777777" w:rsidTr="00C618F9">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41FC7842" w14:textId="77777777" w:rsidR="00D60667" w:rsidRPr="00F53375" w:rsidRDefault="00D60667" w:rsidP="00472C6C">
            <w:pPr>
              <w:pStyle w:val="Heading2"/>
              <w:spacing w:line="216" w:lineRule="auto"/>
              <w:rPr>
                <w:rFonts w:asciiTheme="minorHAnsi" w:hAnsiTheme="minorHAnsi"/>
                <w:color w:val="000000" w:themeColor="text1"/>
                <w:sz w:val="20"/>
                <w:szCs w:val="20"/>
              </w:rPr>
            </w:pPr>
          </w:p>
        </w:tc>
        <w:tc>
          <w:tcPr>
            <w:tcW w:w="0" w:type="auto"/>
            <w:tcMar>
              <w:top w:w="0" w:type="dxa"/>
              <w:left w:w="28" w:type="dxa"/>
              <w:bottom w:w="0" w:type="dxa"/>
              <w:right w:w="28" w:type="dxa"/>
            </w:tcMar>
          </w:tcPr>
          <w:p w14:paraId="0D9E56F1"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Market</w:t>
            </w:r>
          </w:p>
        </w:tc>
        <w:tc>
          <w:tcPr>
            <w:tcW w:w="0" w:type="auto"/>
            <w:tcMar>
              <w:top w:w="0" w:type="dxa"/>
              <w:left w:w="28" w:type="dxa"/>
              <w:bottom w:w="0" w:type="dxa"/>
              <w:right w:w="28" w:type="dxa"/>
            </w:tcMar>
          </w:tcPr>
          <w:p w14:paraId="0E7A22A9"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4.83</w:t>
            </w:r>
          </w:p>
        </w:tc>
        <w:tc>
          <w:tcPr>
            <w:tcW w:w="0" w:type="auto"/>
            <w:tcMar>
              <w:top w:w="0" w:type="dxa"/>
              <w:left w:w="28" w:type="dxa"/>
              <w:bottom w:w="0" w:type="dxa"/>
              <w:right w:w="28" w:type="dxa"/>
            </w:tcMar>
          </w:tcPr>
          <w:p w14:paraId="7E906F54"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49.12</w:t>
            </w:r>
          </w:p>
        </w:tc>
      </w:tr>
      <w:tr w:rsidR="00D60667" w:rsidRPr="00F53375" w14:paraId="2FC26334" w14:textId="77777777" w:rsidTr="00C618F9">
        <w:trPr>
          <w:trHeight w:val="302"/>
        </w:trPr>
        <w:tc>
          <w:tcPr>
            <w:cnfStyle w:val="001000000000" w:firstRow="0" w:lastRow="0" w:firstColumn="1" w:lastColumn="0" w:oddVBand="0" w:evenVBand="0" w:oddHBand="0" w:evenHBand="0" w:firstRowFirstColumn="0" w:firstRowLastColumn="0" w:lastRowFirstColumn="0" w:lastRowLastColumn="0"/>
            <w:tcW w:w="0" w:type="auto"/>
            <w:tcMar>
              <w:top w:w="0" w:type="dxa"/>
              <w:left w:w="28" w:type="dxa"/>
              <w:bottom w:w="0" w:type="dxa"/>
              <w:right w:w="28" w:type="dxa"/>
            </w:tcMar>
          </w:tcPr>
          <w:p w14:paraId="112C13F1" w14:textId="77777777" w:rsidR="00D60667" w:rsidRPr="00F53375" w:rsidRDefault="00D60667" w:rsidP="00472C6C">
            <w:pPr>
              <w:pStyle w:val="Heading2"/>
              <w:spacing w:line="216" w:lineRule="auto"/>
              <w:rPr>
                <w:rFonts w:asciiTheme="minorHAnsi" w:hAnsiTheme="minorHAnsi"/>
                <w:b/>
                <w:bCs/>
                <w:color w:val="000000" w:themeColor="text1"/>
                <w:sz w:val="20"/>
                <w:szCs w:val="20"/>
              </w:rPr>
            </w:pPr>
          </w:p>
        </w:tc>
        <w:tc>
          <w:tcPr>
            <w:tcW w:w="0" w:type="auto"/>
            <w:tcMar>
              <w:top w:w="0" w:type="dxa"/>
              <w:left w:w="28" w:type="dxa"/>
              <w:bottom w:w="0" w:type="dxa"/>
              <w:right w:w="28" w:type="dxa"/>
            </w:tcMar>
          </w:tcPr>
          <w:p w14:paraId="6305AEF5"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Full</w:t>
            </w:r>
          </w:p>
        </w:tc>
        <w:tc>
          <w:tcPr>
            <w:tcW w:w="0" w:type="auto"/>
            <w:tcMar>
              <w:top w:w="0" w:type="dxa"/>
              <w:left w:w="28" w:type="dxa"/>
              <w:bottom w:w="0" w:type="dxa"/>
              <w:right w:w="28" w:type="dxa"/>
            </w:tcMar>
          </w:tcPr>
          <w:p w14:paraId="6C15E5DC"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5.41</w:t>
            </w:r>
          </w:p>
        </w:tc>
        <w:tc>
          <w:tcPr>
            <w:tcW w:w="0" w:type="auto"/>
            <w:tcMar>
              <w:top w:w="0" w:type="dxa"/>
              <w:left w:w="28" w:type="dxa"/>
              <w:bottom w:w="0" w:type="dxa"/>
              <w:right w:w="28" w:type="dxa"/>
            </w:tcMar>
          </w:tcPr>
          <w:p w14:paraId="1F20289A"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50.31</w:t>
            </w:r>
          </w:p>
        </w:tc>
      </w:tr>
    </w:tbl>
    <w:p w14:paraId="4F6491C3" w14:textId="77777777" w:rsidR="00D60667" w:rsidRPr="00F53375" w:rsidRDefault="00D60667" w:rsidP="00472C6C">
      <w:pPr>
        <w:pStyle w:val="Heading2"/>
        <w:spacing w:line="216" w:lineRule="auto"/>
        <w:rPr>
          <w:rFonts w:asciiTheme="minorHAnsi" w:hAnsiTheme="minorHAnsi"/>
          <w:i/>
          <w:iCs/>
          <w:sz w:val="15"/>
          <w:szCs w:val="15"/>
        </w:rPr>
      </w:pPr>
      <w:r>
        <w:rPr>
          <w:rFonts w:asciiTheme="minorHAnsi" w:hAnsiTheme="minorHAnsi"/>
          <w:i/>
          <w:iCs/>
          <w:sz w:val="15"/>
          <w:szCs w:val="15"/>
        </w:rPr>
        <w:t>Table 1. Regression Tasks</w:t>
      </w:r>
    </w:p>
    <w:p w14:paraId="6038D7CE"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The MAE of the model using the market-only </w:t>
      </w:r>
      <w:proofErr w:type="spellStart"/>
      <w:r w:rsidRPr="00E23A38">
        <w:rPr>
          <w:rFonts w:asciiTheme="minorHAnsi" w:hAnsiTheme="minorHAnsi"/>
          <w:sz w:val="20"/>
          <w:szCs w:val="20"/>
        </w:rPr>
        <w:t>XGBoost</w:t>
      </w:r>
      <w:proofErr w:type="spellEnd"/>
      <w:r w:rsidRPr="00E23A38">
        <w:rPr>
          <w:rFonts w:asciiTheme="minorHAnsi" w:hAnsiTheme="minorHAnsi"/>
          <w:sz w:val="20"/>
          <w:szCs w:val="20"/>
        </w:rPr>
        <w:t xml:space="preserve"> regressor is 22.23, and the RMSE is 40.09, representing </w:t>
      </w:r>
      <w:proofErr w:type="gramStart"/>
      <w:r w:rsidRPr="00E23A38">
        <w:rPr>
          <w:rFonts w:asciiTheme="minorHAnsi" w:hAnsiTheme="minorHAnsi"/>
          <w:sz w:val="20"/>
          <w:szCs w:val="20"/>
        </w:rPr>
        <w:t>a</w:t>
      </w:r>
      <w:proofErr w:type="gramEnd"/>
      <w:r w:rsidRPr="00E23A38">
        <w:rPr>
          <w:rFonts w:asciiTheme="minorHAnsi" w:hAnsiTheme="minorHAnsi"/>
          <w:sz w:val="20"/>
          <w:szCs w:val="20"/>
        </w:rPr>
        <w:t xml:space="preserve"> 8.6% improvement over the last value persistence model. This indicates the ability of the model to capture non-linear short-run dependencies. </w:t>
      </w:r>
    </w:p>
    <w:p w14:paraId="7FBBDE3C"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The addition of the frequency micro-signals results in a slightly improved MAE of 21.90, but the RMSE increases to 45.51. This would appear to indicate a negative effect, but it provides a useful insight. This indicates the model’s sensitivity to extreme events. </w:t>
      </w:r>
      <w:r w:rsidRPr="00825FAE">
        <w:rPr>
          <w:rFonts w:asciiTheme="minorHAnsi" w:hAnsiTheme="minorHAnsi"/>
          <w:sz w:val="20"/>
          <w:szCs w:val="20"/>
        </w:rPr>
        <w:t xml:space="preserve">To investigate whether the higher RMSE was driven by a small number of extreme price realisations, an additional sensitivity analysis was performed in which the regression target was clipped at a range of symmetric thresholds. Specifically, for a threshold </w:t>
      </w:r>
      <m:oMath>
        <m:r>
          <w:rPr>
            <w:rFonts w:ascii="Cambria Math" w:hAnsi="Cambria Math"/>
            <w:sz w:val="20"/>
            <w:szCs w:val="20"/>
          </w:rPr>
          <m:t>T</m:t>
        </m:r>
      </m:oMath>
      <w:r w:rsidRPr="00825FAE">
        <w:rPr>
          <w:rFonts w:asciiTheme="minorHAnsi" w:hAnsiTheme="minorHAnsi"/>
          <w:sz w:val="20"/>
          <w:szCs w:val="20"/>
        </w:rPr>
        <w:t xml:space="preserve">, the next-interval target </w:t>
      </w:r>
      <m:oMath>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t+1</m:t>
            </m:r>
          </m:sub>
        </m:sSub>
      </m:oMath>
      <w:r w:rsidRPr="00825FAE">
        <w:rPr>
          <w:rFonts w:asciiTheme="minorHAnsi" w:hAnsiTheme="minorHAnsi"/>
          <w:sz w:val="20"/>
          <w:szCs w:val="20"/>
        </w:rPr>
        <w:t xml:space="preserve">was replaced by </w:t>
      </w:r>
      <m:oMath>
        <m:r>
          <m:rPr>
            <m:sty m:val="p"/>
          </m:rPr>
          <w:rPr>
            <w:rFonts w:ascii="Cambria Math" w:hAnsi="Cambria Math"/>
            <w:sz w:val="20"/>
            <w:szCs w:val="20"/>
          </w:rPr>
          <m:t>min</m:t>
        </m:r>
        <m:r>
          <w:rPr>
            <w:rFonts w:ascii="Cambria Math" w:hAnsi="Cambria Math"/>
            <w:sz w:val="20"/>
            <w:szCs w:val="20"/>
          </w:rPr>
          <m:t>⁡(</m:t>
        </m:r>
        <m:r>
          <m:rPr>
            <m:sty m:val="p"/>
          </m:rPr>
          <w:rPr>
            <w:rFonts w:ascii="Cambria Math" w:hAnsi="Cambria Math"/>
            <w:sz w:val="20"/>
            <w:szCs w:val="20"/>
          </w:rPr>
          <m:t>max</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t+1</m:t>
            </m:r>
          </m:sub>
        </m:sSub>
        <m:r>
          <w:rPr>
            <w:rFonts w:ascii="Cambria Math" w:hAnsi="Cambria Math"/>
            <w:sz w:val="20"/>
            <w:szCs w:val="20"/>
          </w:rPr>
          <m:t>,-T),T)</m:t>
        </m:r>
      </m:oMath>
      <w:r w:rsidRPr="00825FAE">
        <w:rPr>
          <w:rFonts w:asciiTheme="minorHAnsi" w:hAnsiTheme="minorHAnsi"/>
          <w:sz w:val="20"/>
          <w:szCs w:val="20"/>
        </w:rPr>
        <w:t>in both the training and test sets, while the feature inputs and model specification were left unchanged. This does not remove extreme observations but reduces the influence of very large target magnitudes on the loss and evaluation metrics. The analysis is therefore used only as a diagnostic check rather than as the main performance measure</w:t>
      </w:r>
      <w:r w:rsidRPr="00E23A38">
        <w:rPr>
          <w:rFonts w:asciiTheme="minorHAnsi" w:hAnsiTheme="minorHAnsi"/>
          <w:sz w:val="20"/>
          <w:szCs w:val="20"/>
        </w:rPr>
        <w:t>.</w:t>
      </w:r>
    </w:p>
    <w:p w14:paraId="6549B348"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 xml:space="preserve">The results for the return regression were more difficult. Machine learning did not perform better than the best performing baseline model, and the addition of the frequency signals did not improve the results. This indicates the response of the prices over the short-run period, and the magnitude of the return appears to be related to a complex mix of reserve activation, pricing, and settlement. This mix cannot be captured by the physical signals. Temporal experiments showed the non-stationarity of the markets, and the results improved as the window of the model increased. </w:t>
      </w:r>
    </w:p>
    <w:p w14:paraId="576FCB5D"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The results of the experiment did not support the idea of the use of the frequency micro-signals to improve the results.</w:t>
      </w:r>
    </w:p>
    <w:p w14:paraId="76D99270" w14:textId="77777777" w:rsidR="00D60667" w:rsidRDefault="00D60667" w:rsidP="00472C6C">
      <w:pPr>
        <w:pStyle w:val="Heading2"/>
        <w:spacing w:line="216" w:lineRule="auto"/>
        <w:rPr>
          <w:rFonts w:asciiTheme="minorHAnsi" w:hAnsiTheme="minorHAnsi"/>
          <w:sz w:val="20"/>
          <w:szCs w:val="20"/>
        </w:rPr>
      </w:pPr>
      <w:r w:rsidRPr="00E23A38">
        <w:rPr>
          <w:rFonts w:asciiTheme="minorHAnsi" w:hAnsiTheme="minorHAnsi"/>
          <w:sz w:val="20"/>
          <w:szCs w:val="20"/>
        </w:rPr>
        <w:t>7.2 Extreme Event Detection</w:t>
      </w:r>
    </w:p>
    <w:tbl>
      <w:tblPr>
        <w:tblStyle w:val="GridTable4-Accent1"/>
        <w:tblW w:w="0" w:type="auto"/>
        <w:tblLook w:val="04A0" w:firstRow="1" w:lastRow="0" w:firstColumn="1" w:lastColumn="0" w:noHBand="0" w:noVBand="1"/>
      </w:tblPr>
      <w:tblGrid>
        <w:gridCol w:w="1461"/>
        <w:gridCol w:w="1090"/>
        <w:gridCol w:w="1087"/>
        <w:gridCol w:w="1337"/>
        <w:gridCol w:w="1683"/>
        <w:gridCol w:w="1202"/>
        <w:gridCol w:w="1156"/>
      </w:tblGrid>
      <w:tr w:rsidR="00D60667" w14:paraId="0A5F08B9" w14:textId="77777777" w:rsidTr="00C618F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13D3C2DC" w14:textId="77777777" w:rsidR="00D60667" w:rsidRPr="000550A9" w:rsidRDefault="00D60667" w:rsidP="00472C6C">
            <w:pPr>
              <w:pStyle w:val="Heading2"/>
              <w:spacing w:line="216" w:lineRule="auto"/>
              <w:rPr>
                <w:rFonts w:asciiTheme="minorHAnsi" w:hAnsiTheme="minorHAnsi"/>
                <w:color w:val="FFFFFF" w:themeColor="background1"/>
                <w:sz w:val="20"/>
                <w:szCs w:val="20"/>
              </w:rPr>
            </w:pPr>
            <w:r>
              <w:rPr>
                <w:rFonts w:asciiTheme="minorHAnsi" w:hAnsiTheme="minorHAnsi"/>
                <w:color w:val="FFFFFF" w:themeColor="background1"/>
                <w:sz w:val="20"/>
                <w:szCs w:val="20"/>
              </w:rPr>
              <w:t>Task</w:t>
            </w:r>
          </w:p>
        </w:tc>
        <w:tc>
          <w:tcPr>
            <w:tcW w:w="1090" w:type="dxa"/>
            <w:tcMar>
              <w:left w:w="28" w:type="dxa"/>
              <w:right w:w="28" w:type="dxa"/>
            </w:tcMar>
          </w:tcPr>
          <w:p w14:paraId="3DE72240" w14:textId="77777777" w:rsidR="00D60667" w:rsidRPr="000550A9"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Model</w:t>
            </w:r>
          </w:p>
        </w:tc>
        <w:tc>
          <w:tcPr>
            <w:tcW w:w="1087" w:type="dxa"/>
            <w:tcMar>
              <w:left w:w="28" w:type="dxa"/>
              <w:right w:w="28" w:type="dxa"/>
            </w:tcMar>
          </w:tcPr>
          <w:p w14:paraId="6719D128" w14:textId="77777777" w:rsidR="00D60667" w:rsidRPr="000550A9"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Accuracy</w:t>
            </w:r>
          </w:p>
        </w:tc>
        <w:tc>
          <w:tcPr>
            <w:tcW w:w="1337" w:type="dxa"/>
            <w:tcMar>
              <w:left w:w="28" w:type="dxa"/>
              <w:right w:w="28" w:type="dxa"/>
            </w:tcMar>
          </w:tcPr>
          <w:p w14:paraId="6479D88D" w14:textId="77777777" w:rsidR="00D60667"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PR-AUC</w:t>
            </w:r>
          </w:p>
        </w:tc>
        <w:tc>
          <w:tcPr>
            <w:tcW w:w="1683" w:type="dxa"/>
            <w:tcMar>
              <w:left w:w="28" w:type="dxa"/>
              <w:right w:w="28" w:type="dxa"/>
            </w:tcMar>
          </w:tcPr>
          <w:p w14:paraId="31757E14" w14:textId="77777777" w:rsidR="00D60667" w:rsidRPr="000550A9"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Precision</w:t>
            </w:r>
          </w:p>
        </w:tc>
        <w:tc>
          <w:tcPr>
            <w:tcW w:w="1202" w:type="dxa"/>
            <w:tcMar>
              <w:left w:w="28" w:type="dxa"/>
              <w:right w:w="28" w:type="dxa"/>
            </w:tcMar>
          </w:tcPr>
          <w:p w14:paraId="03728B7A" w14:textId="77777777" w:rsidR="00D60667" w:rsidRPr="000550A9"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Recall</w:t>
            </w:r>
          </w:p>
        </w:tc>
        <w:tc>
          <w:tcPr>
            <w:tcW w:w="1156" w:type="dxa"/>
            <w:tcMar>
              <w:left w:w="28" w:type="dxa"/>
              <w:right w:w="28" w:type="dxa"/>
            </w:tcMar>
          </w:tcPr>
          <w:p w14:paraId="5C5D825D" w14:textId="77777777" w:rsidR="00D60667" w:rsidRPr="000550A9"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F1</w:t>
            </w:r>
          </w:p>
        </w:tc>
      </w:tr>
      <w:tr w:rsidR="00D60667" w14:paraId="028E5949" w14:textId="77777777" w:rsidTr="00C61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7ADE5A00" w14:textId="77777777" w:rsidR="00D60667" w:rsidRPr="004958F8" w:rsidRDefault="00D60667" w:rsidP="00472C6C">
            <w:pPr>
              <w:pStyle w:val="Heading2"/>
              <w:spacing w:line="216" w:lineRule="auto"/>
              <w:rPr>
                <w:rFonts w:asciiTheme="minorHAnsi" w:hAnsiTheme="minorHAnsi"/>
                <w:color w:val="000000" w:themeColor="text1"/>
                <w:sz w:val="20"/>
                <w:szCs w:val="20"/>
              </w:rPr>
            </w:pPr>
            <w:r w:rsidRPr="004958F8">
              <w:rPr>
                <w:rFonts w:asciiTheme="minorHAnsi" w:hAnsiTheme="minorHAnsi"/>
                <w:color w:val="000000" w:themeColor="text1"/>
                <w:sz w:val="20"/>
                <w:szCs w:val="20"/>
              </w:rPr>
              <w:t>Price Spike Classification</w:t>
            </w:r>
          </w:p>
        </w:tc>
        <w:tc>
          <w:tcPr>
            <w:tcW w:w="1090" w:type="dxa"/>
            <w:tcMar>
              <w:left w:w="28" w:type="dxa"/>
              <w:right w:w="28" w:type="dxa"/>
            </w:tcMar>
          </w:tcPr>
          <w:p w14:paraId="3F2FA610"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Baseline</w:t>
            </w:r>
          </w:p>
        </w:tc>
        <w:tc>
          <w:tcPr>
            <w:tcW w:w="1087" w:type="dxa"/>
            <w:tcMar>
              <w:left w:w="28" w:type="dxa"/>
              <w:right w:w="28" w:type="dxa"/>
            </w:tcMar>
          </w:tcPr>
          <w:p w14:paraId="22029B97"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0.9584</w:t>
            </w:r>
          </w:p>
        </w:tc>
        <w:tc>
          <w:tcPr>
            <w:tcW w:w="1337" w:type="dxa"/>
            <w:tcMar>
              <w:left w:w="28" w:type="dxa"/>
              <w:right w:w="28" w:type="dxa"/>
            </w:tcMar>
          </w:tcPr>
          <w:p w14:paraId="5917B949"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w:t>
            </w:r>
          </w:p>
        </w:tc>
        <w:tc>
          <w:tcPr>
            <w:tcW w:w="1683" w:type="dxa"/>
            <w:tcMar>
              <w:left w:w="28" w:type="dxa"/>
              <w:right w:w="28" w:type="dxa"/>
            </w:tcMar>
          </w:tcPr>
          <w:p w14:paraId="7E2BFFA8"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0.2881</w:t>
            </w:r>
          </w:p>
        </w:tc>
        <w:tc>
          <w:tcPr>
            <w:tcW w:w="1202" w:type="dxa"/>
            <w:tcMar>
              <w:left w:w="28" w:type="dxa"/>
              <w:right w:w="28" w:type="dxa"/>
            </w:tcMar>
          </w:tcPr>
          <w:p w14:paraId="78FBBD93"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0.2878</w:t>
            </w:r>
          </w:p>
        </w:tc>
        <w:tc>
          <w:tcPr>
            <w:tcW w:w="1156" w:type="dxa"/>
            <w:tcMar>
              <w:left w:w="28" w:type="dxa"/>
              <w:right w:w="28" w:type="dxa"/>
            </w:tcMar>
          </w:tcPr>
          <w:p w14:paraId="6CA49FAB"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0.288</w:t>
            </w:r>
          </w:p>
        </w:tc>
      </w:tr>
      <w:tr w:rsidR="00D60667" w14:paraId="1F51E3EB" w14:textId="77777777" w:rsidTr="00C618F9">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2A040A3B" w14:textId="77777777" w:rsidR="00D60667" w:rsidRPr="004958F8" w:rsidRDefault="00D60667" w:rsidP="00472C6C">
            <w:pPr>
              <w:pStyle w:val="Heading2"/>
              <w:spacing w:line="216" w:lineRule="auto"/>
              <w:rPr>
                <w:rFonts w:asciiTheme="minorHAnsi" w:hAnsiTheme="minorHAnsi"/>
                <w:color w:val="000000" w:themeColor="text1"/>
                <w:sz w:val="20"/>
                <w:szCs w:val="20"/>
              </w:rPr>
            </w:pPr>
          </w:p>
        </w:tc>
        <w:tc>
          <w:tcPr>
            <w:tcW w:w="1090" w:type="dxa"/>
            <w:tcMar>
              <w:left w:w="28" w:type="dxa"/>
              <w:right w:w="28" w:type="dxa"/>
            </w:tcMar>
          </w:tcPr>
          <w:p w14:paraId="78094290"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Market</w:t>
            </w:r>
          </w:p>
        </w:tc>
        <w:tc>
          <w:tcPr>
            <w:tcW w:w="1087" w:type="dxa"/>
            <w:tcMar>
              <w:left w:w="28" w:type="dxa"/>
              <w:right w:w="28" w:type="dxa"/>
            </w:tcMar>
          </w:tcPr>
          <w:p w14:paraId="164B89F2"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0.9728</w:t>
            </w:r>
          </w:p>
        </w:tc>
        <w:tc>
          <w:tcPr>
            <w:tcW w:w="1337" w:type="dxa"/>
            <w:tcMar>
              <w:left w:w="28" w:type="dxa"/>
              <w:right w:w="28" w:type="dxa"/>
            </w:tcMar>
          </w:tcPr>
          <w:p w14:paraId="6AF7D783"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0.2814</w:t>
            </w:r>
          </w:p>
        </w:tc>
        <w:tc>
          <w:tcPr>
            <w:tcW w:w="1683" w:type="dxa"/>
            <w:tcMar>
              <w:left w:w="28" w:type="dxa"/>
              <w:right w:w="28" w:type="dxa"/>
            </w:tcMar>
          </w:tcPr>
          <w:p w14:paraId="4113AB2F"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w:t>
            </w:r>
          </w:p>
        </w:tc>
        <w:tc>
          <w:tcPr>
            <w:tcW w:w="1202" w:type="dxa"/>
            <w:tcMar>
              <w:left w:w="28" w:type="dxa"/>
              <w:right w:w="28" w:type="dxa"/>
            </w:tcMar>
          </w:tcPr>
          <w:p w14:paraId="2A9B07D0" w14:textId="572B482C" w:rsidR="00D60667" w:rsidRPr="004958F8" w:rsidRDefault="001105D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1105D7">
              <w:rPr>
                <w:rFonts w:asciiTheme="minorHAnsi" w:hAnsiTheme="minorHAnsi"/>
                <w:b w:val="0"/>
                <w:bCs w:val="0"/>
                <w:color w:val="000000" w:themeColor="text1"/>
                <w:sz w:val="20"/>
                <w:szCs w:val="20"/>
              </w:rPr>
              <w:t>0.1702</w:t>
            </w:r>
          </w:p>
        </w:tc>
        <w:tc>
          <w:tcPr>
            <w:tcW w:w="1156" w:type="dxa"/>
            <w:tcMar>
              <w:left w:w="28" w:type="dxa"/>
              <w:right w:w="28" w:type="dxa"/>
            </w:tcMar>
          </w:tcPr>
          <w:p w14:paraId="188772F5"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0.268</w:t>
            </w:r>
          </w:p>
        </w:tc>
      </w:tr>
      <w:tr w:rsidR="00D60667" w14:paraId="7ED14661" w14:textId="77777777" w:rsidTr="00C61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23A169B7" w14:textId="77777777" w:rsidR="00D60667" w:rsidRPr="004958F8" w:rsidRDefault="00D60667" w:rsidP="00472C6C">
            <w:pPr>
              <w:pStyle w:val="Heading2"/>
              <w:spacing w:line="216" w:lineRule="auto"/>
              <w:rPr>
                <w:rFonts w:asciiTheme="minorHAnsi" w:hAnsiTheme="minorHAnsi"/>
                <w:color w:val="000000" w:themeColor="text1"/>
                <w:sz w:val="20"/>
                <w:szCs w:val="20"/>
              </w:rPr>
            </w:pPr>
          </w:p>
        </w:tc>
        <w:tc>
          <w:tcPr>
            <w:tcW w:w="1090" w:type="dxa"/>
            <w:tcMar>
              <w:left w:w="28" w:type="dxa"/>
              <w:right w:w="28" w:type="dxa"/>
            </w:tcMar>
          </w:tcPr>
          <w:p w14:paraId="026165EE"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Full</w:t>
            </w:r>
          </w:p>
        </w:tc>
        <w:tc>
          <w:tcPr>
            <w:tcW w:w="1087" w:type="dxa"/>
            <w:tcMar>
              <w:left w:w="28" w:type="dxa"/>
              <w:right w:w="28" w:type="dxa"/>
            </w:tcMar>
          </w:tcPr>
          <w:p w14:paraId="6D9003C5"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0.9679</w:t>
            </w:r>
          </w:p>
        </w:tc>
        <w:tc>
          <w:tcPr>
            <w:tcW w:w="1337" w:type="dxa"/>
            <w:tcMar>
              <w:left w:w="28" w:type="dxa"/>
              <w:right w:w="28" w:type="dxa"/>
            </w:tcMar>
          </w:tcPr>
          <w:p w14:paraId="48ED9222"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0.2855</w:t>
            </w:r>
          </w:p>
        </w:tc>
        <w:tc>
          <w:tcPr>
            <w:tcW w:w="1683" w:type="dxa"/>
            <w:tcMar>
              <w:left w:w="28" w:type="dxa"/>
              <w:right w:w="28" w:type="dxa"/>
            </w:tcMar>
          </w:tcPr>
          <w:p w14:paraId="5D0BEC9B"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w:t>
            </w:r>
          </w:p>
        </w:tc>
        <w:tc>
          <w:tcPr>
            <w:tcW w:w="1202" w:type="dxa"/>
            <w:tcMar>
              <w:left w:w="28" w:type="dxa"/>
              <w:right w:w="28" w:type="dxa"/>
            </w:tcMar>
          </w:tcPr>
          <w:p w14:paraId="2D80D060"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0.7872</w:t>
            </w:r>
          </w:p>
        </w:tc>
        <w:tc>
          <w:tcPr>
            <w:tcW w:w="1156" w:type="dxa"/>
            <w:tcMar>
              <w:left w:w="28" w:type="dxa"/>
              <w:right w:w="28" w:type="dxa"/>
            </w:tcMar>
          </w:tcPr>
          <w:p w14:paraId="41C6B317"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0.348</w:t>
            </w:r>
          </w:p>
        </w:tc>
      </w:tr>
      <w:tr w:rsidR="00D60667" w14:paraId="7D4B8798" w14:textId="77777777" w:rsidTr="00C618F9">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3D85ECF3" w14:textId="77777777" w:rsidR="00D60667" w:rsidRPr="004958F8" w:rsidRDefault="00D60667" w:rsidP="00472C6C">
            <w:pPr>
              <w:pStyle w:val="Heading2"/>
              <w:spacing w:line="216" w:lineRule="auto"/>
              <w:rPr>
                <w:rFonts w:asciiTheme="minorHAnsi" w:hAnsiTheme="minorHAnsi"/>
                <w:color w:val="000000" w:themeColor="text1"/>
                <w:sz w:val="20"/>
                <w:szCs w:val="20"/>
              </w:rPr>
            </w:pPr>
            <w:r w:rsidRPr="004958F8">
              <w:rPr>
                <w:rFonts w:asciiTheme="minorHAnsi" w:hAnsiTheme="minorHAnsi"/>
                <w:color w:val="000000" w:themeColor="text1"/>
                <w:sz w:val="20"/>
                <w:szCs w:val="20"/>
              </w:rPr>
              <w:t>Volatility Spike Classification</w:t>
            </w:r>
          </w:p>
        </w:tc>
        <w:tc>
          <w:tcPr>
            <w:tcW w:w="1090" w:type="dxa"/>
            <w:tcMar>
              <w:left w:w="28" w:type="dxa"/>
              <w:right w:w="28" w:type="dxa"/>
            </w:tcMar>
          </w:tcPr>
          <w:p w14:paraId="55E00DE7"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Baseline</w:t>
            </w:r>
          </w:p>
        </w:tc>
        <w:tc>
          <w:tcPr>
            <w:tcW w:w="1087" w:type="dxa"/>
            <w:tcMar>
              <w:left w:w="28" w:type="dxa"/>
              <w:right w:w="28" w:type="dxa"/>
            </w:tcMar>
          </w:tcPr>
          <w:p w14:paraId="0F8238C7"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0.9826</w:t>
            </w:r>
          </w:p>
        </w:tc>
        <w:tc>
          <w:tcPr>
            <w:tcW w:w="1337" w:type="dxa"/>
            <w:tcMar>
              <w:left w:w="28" w:type="dxa"/>
              <w:right w:w="28" w:type="dxa"/>
            </w:tcMar>
          </w:tcPr>
          <w:p w14:paraId="11C8E650"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w:t>
            </w:r>
          </w:p>
        </w:tc>
        <w:tc>
          <w:tcPr>
            <w:tcW w:w="1683" w:type="dxa"/>
            <w:tcMar>
              <w:left w:w="28" w:type="dxa"/>
              <w:right w:w="28" w:type="dxa"/>
            </w:tcMar>
          </w:tcPr>
          <w:p w14:paraId="6338517E"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0.0085</w:t>
            </w:r>
          </w:p>
        </w:tc>
        <w:tc>
          <w:tcPr>
            <w:tcW w:w="1202" w:type="dxa"/>
            <w:tcMar>
              <w:left w:w="28" w:type="dxa"/>
              <w:right w:w="28" w:type="dxa"/>
            </w:tcMar>
          </w:tcPr>
          <w:p w14:paraId="029B4517"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0.0136</w:t>
            </w:r>
          </w:p>
        </w:tc>
        <w:tc>
          <w:tcPr>
            <w:tcW w:w="1156" w:type="dxa"/>
            <w:tcMar>
              <w:left w:w="28" w:type="dxa"/>
              <w:right w:w="28" w:type="dxa"/>
            </w:tcMar>
          </w:tcPr>
          <w:p w14:paraId="19B62F91"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0.011</w:t>
            </w:r>
          </w:p>
        </w:tc>
      </w:tr>
      <w:tr w:rsidR="00D60667" w14:paraId="3D25381D" w14:textId="77777777" w:rsidTr="00C618F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559DD2B8" w14:textId="77777777" w:rsidR="00D60667" w:rsidRPr="004958F8" w:rsidRDefault="00D60667" w:rsidP="00472C6C">
            <w:pPr>
              <w:pStyle w:val="Heading2"/>
              <w:spacing w:line="216" w:lineRule="auto"/>
              <w:rPr>
                <w:rFonts w:asciiTheme="minorHAnsi" w:hAnsiTheme="minorHAnsi"/>
                <w:color w:val="000000" w:themeColor="text1"/>
                <w:sz w:val="20"/>
                <w:szCs w:val="20"/>
              </w:rPr>
            </w:pPr>
          </w:p>
        </w:tc>
        <w:tc>
          <w:tcPr>
            <w:tcW w:w="1090" w:type="dxa"/>
            <w:tcMar>
              <w:left w:w="28" w:type="dxa"/>
              <w:right w:w="28" w:type="dxa"/>
            </w:tcMar>
          </w:tcPr>
          <w:p w14:paraId="22A9CA77"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Market</w:t>
            </w:r>
          </w:p>
        </w:tc>
        <w:tc>
          <w:tcPr>
            <w:tcW w:w="1087" w:type="dxa"/>
            <w:tcMar>
              <w:left w:w="28" w:type="dxa"/>
              <w:right w:w="28" w:type="dxa"/>
            </w:tcMar>
          </w:tcPr>
          <w:p w14:paraId="66C9071A"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0.9932</w:t>
            </w:r>
          </w:p>
        </w:tc>
        <w:tc>
          <w:tcPr>
            <w:tcW w:w="1337" w:type="dxa"/>
            <w:tcMar>
              <w:left w:w="28" w:type="dxa"/>
              <w:right w:w="28" w:type="dxa"/>
            </w:tcMar>
          </w:tcPr>
          <w:p w14:paraId="49226269"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0.1315</w:t>
            </w:r>
          </w:p>
        </w:tc>
        <w:tc>
          <w:tcPr>
            <w:tcW w:w="1683" w:type="dxa"/>
            <w:tcMar>
              <w:left w:w="28" w:type="dxa"/>
              <w:right w:w="28" w:type="dxa"/>
            </w:tcMar>
          </w:tcPr>
          <w:p w14:paraId="47263A8C"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w:t>
            </w:r>
          </w:p>
        </w:tc>
        <w:tc>
          <w:tcPr>
            <w:tcW w:w="1202" w:type="dxa"/>
            <w:tcMar>
              <w:left w:w="28" w:type="dxa"/>
              <w:right w:w="28" w:type="dxa"/>
            </w:tcMar>
          </w:tcPr>
          <w:p w14:paraId="20A0F5FC"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w:t>
            </w:r>
          </w:p>
        </w:tc>
        <w:tc>
          <w:tcPr>
            <w:tcW w:w="1156" w:type="dxa"/>
            <w:tcMar>
              <w:left w:w="28" w:type="dxa"/>
              <w:right w:w="28" w:type="dxa"/>
            </w:tcMar>
          </w:tcPr>
          <w:p w14:paraId="5A099851" w14:textId="77777777" w:rsidR="00D60667" w:rsidRPr="004958F8"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w:t>
            </w:r>
          </w:p>
        </w:tc>
      </w:tr>
      <w:tr w:rsidR="00D60667" w14:paraId="25D0D782" w14:textId="77777777" w:rsidTr="00C618F9">
        <w:tc>
          <w:tcPr>
            <w:cnfStyle w:val="001000000000" w:firstRow="0" w:lastRow="0" w:firstColumn="1" w:lastColumn="0" w:oddVBand="0" w:evenVBand="0" w:oddHBand="0" w:evenHBand="0" w:firstRowFirstColumn="0" w:firstRowLastColumn="0" w:lastRowFirstColumn="0" w:lastRowLastColumn="0"/>
            <w:tcW w:w="1461" w:type="dxa"/>
            <w:tcMar>
              <w:left w:w="28" w:type="dxa"/>
              <w:right w:w="28" w:type="dxa"/>
            </w:tcMar>
          </w:tcPr>
          <w:p w14:paraId="57E67E76" w14:textId="77777777" w:rsidR="00D60667" w:rsidRPr="004958F8" w:rsidRDefault="00D60667" w:rsidP="00472C6C">
            <w:pPr>
              <w:pStyle w:val="Heading2"/>
              <w:spacing w:line="216" w:lineRule="auto"/>
              <w:rPr>
                <w:rFonts w:asciiTheme="minorHAnsi" w:hAnsiTheme="minorHAnsi"/>
                <w:color w:val="000000" w:themeColor="text1"/>
                <w:sz w:val="20"/>
                <w:szCs w:val="20"/>
              </w:rPr>
            </w:pPr>
          </w:p>
        </w:tc>
        <w:tc>
          <w:tcPr>
            <w:tcW w:w="1090" w:type="dxa"/>
            <w:tcMar>
              <w:left w:w="28" w:type="dxa"/>
              <w:right w:w="28" w:type="dxa"/>
            </w:tcMar>
          </w:tcPr>
          <w:p w14:paraId="408E4B1C"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Full</w:t>
            </w:r>
          </w:p>
        </w:tc>
        <w:tc>
          <w:tcPr>
            <w:tcW w:w="1087" w:type="dxa"/>
            <w:tcMar>
              <w:left w:w="28" w:type="dxa"/>
              <w:right w:w="28" w:type="dxa"/>
            </w:tcMar>
          </w:tcPr>
          <w:p w14:paraId="2DE44DA3"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0.988</w:t>
            </w:r>
          </w:p>
        </w:tc>
        <w:tc>
          <w:tcPr>
            <w:tcW w:w="1337" w:type="dxa"/>
            <w:tcMar>
              <w:left w:w="28" w:type="dxa"/>
              <w:right w:w="28" w:type="dxa"/>
            </w:tcMar>
          </w:tcPr>
          <w:p w14:paraId="2A831F3D"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0.464</w:t>
            </w:r>
          </w:p>
        </w:tc>
        <w:tc>
          <w:tcPr>
            <w:tcW w:w="1683" w:type="dxa"/>
            <w:tcMar>
              <w:left w:w="28" w:type="dxa"/>
              <w:right w:w="28" w:type="dxa"/>
            </w:tcMar>
          </w:tcPr>
          <w:p w14:paraId="03522368"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0.335</w:t>
            </w:r>
          </w:p>
        </w:tc>
        <w:tc>
          <w:tcPr>
            <w:tcW w:w="1202" w:type="dxa"/>
            <w:tcMar>
              <w:left w:w="28" w:type="dxa"/>
              <w:right w:w="28" w:type="dxa"/>
            </w:tcMar>
          </w:tcPr>
          <w:p w14:paraId="012501C2"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0.677</w:t>
            </w:r>
          </w:p>
        </w:tc>
        <w:tc>
          <w:tcPr>
            <w:tcW w:w="1156" w:type="dxa"/>
            <w:tcMar>
              <w:left w:w="28" w:type="dxa"/>
              <w:right w:w="28" w:type="dxa"/>
            </w:tcMar>
          </w:tcPr>
          <w:p w14:paraId="03C13311" w14:textId="77777777" w:rsidR="00D60667" w:rsidRPr="004958F8"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4958F8">
              <w:rPr>
                <w:rFonts w:asciiTheme="minorHAnsi" w:hAnsiTheme="minorHAnsi"/>
                <w:b w:val="0"/>
                <w:bCs w:val="0"/>
                <w:color w:val="000000" w:themeColor="text1"/>
                <w:sz w:val="20"/>
                <w:szCs w:val="20"/>
              </w:rPr>
              <w:t>0.448</w:t>
            </w:r>
          </w:p>
        </w:tc>
      </w:tr>
    </w:tbl>
    <w:p w14:paraId="57E84FC0" w14:textId="77777777" w:rsidR="00D60667" w:rsidRPr="00294C53" w:rsidRDefault="00D60667" w:rsidP="00472C6C">
      <w:pPr>
        <w:pStyle w:val="Heading2"/>
        <w:spacing w:line="216" w:lineRule="auto"/>
        <w:rPr>
          <w:rFonts w:asciiTheme="minorHAnsi" w:hAnsiTheme="minorHAnsi"/>
          <w:i/>
          <w:iCs/>
          <w:sz w:val="15"/>
          <w:szCs w:val="15"/>
        </w:rPr>
      </w:pPr>
      <w:r>
        <w:rPr>
          <w:rFonts w:asciiTheme="minorHAnsi" w:hAnsiTheme="minorHAnsi"/>
          <w:i/>
          <w:iCs/>
          <w:sz w:val="15"/>
          <w:szCs w:val="15"/>
        </w:rPr>
        <w:t>Table 2. Extreme Event Detection Tasks</w:t>
      </w:r>
    </w:p>
    <w:p w14:paraId="06486DA4"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As classification-based approaches, they demonstrate that frequency-based features are far more important than one might intuitively expect. In price spike classification, the market-only model is highly accurate but misses most actual price spikes, prioritizing precision over recall. The addition of frequency micro-signals changes the trade-off considerably. The tuned, full-feature model achieves an F1 score of 0.348, an improvement of 30% over the 0.268 score of the market-only model, driven primarily by improved recall. Precision decreases slightly, but recall is more important in practice because the cost of missing price spikes far outweighs the cost of false positives.</w:t>
      </w:r>
    </w:p>
    <w:p w14:paraId="23A2EDD8"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This makes physical sense, too. The frequency micro-signals respond immediately to imbalances in the market, while the reBAP micro-signals respond to what happens next—activation and scarcity pricing of balancing reserves. The lead-lag between these two sources of price movements creates a short period where the frequency micro-signals contain early indicators that have yet to be reflected in market prices. The predictive power of the frequency micro-signals is spread across multiple families of frequency-based features, not concentrated in any single one, and ablation tests demonstrate that each family of features is predictive. These relationships are confirmed over multiple years, showing that they are not limited to training and testing timeframes.</w:t>
      </w:r>
    </w:p>
    <w:p w14:paraId="3C8B32F6"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For predicting volatility spikes, defined as the absolute price changes in the next interval that are in the 99th percentile, the improvement is even more dramatic. The market-only model performs almost as badly on the minority class as possible, with near-zero recall. The full-feature model achieves an F1 score of 0.449 and, more impressively, achieves a significantly higher PR AUC, showing that the frequency micro-signals contain information about short-run instability that the price-based features miss.</w:t>
      </w:r>
    </w:p>
    <w:p w14:paraId="432EE9C0" w14:textId="77777777" w:rsidR="00D60667" w:rsidRDefault="00D60667" w:rsidP="00472C6C">
      <w:pPr>
        <w:pStyle w:val="Heading2"/>
        <w:spacing w:line="216" w:lineRule="auto"/>
        <w:rPr>
          <w:rFonts w:asciiTheme="minorHAnsi" w:hAnsiTheme="minorHAnsi"/>
          <w:sz w:val="20"/>
          <w:szCs w:val="20"/>
        </w:rPr>
      </w:pPr>
      <w:r w:rsidRPr="00E23A38">
        <w:rPr>
          <w:rFonts w:asciiTheme="minorHAnsi" w:hAnsiTheme="minorHAnsi"/>
          <w:sz w:val="20"/>
          <w:szCs w:val="20"/>
        </w:rPr>
        <w:t>7.3 Volatility Regime Prediction</w:t>
      </w:r>
    </w:p>
    <w:tbl>
      <w:tblPr>
        <w:tblStyle w:val="GridTable4-Accent1"/>
        <w:tblW w:w="8926" w:type="dxa"/>
        <w:tblLook w:val="04A0" w:firstRow="1" w:lastRow="0" w:firstColumn="1" w:lastColumn="0" w:noHBand="0" w:noVBand="1"/>
      </w:tblPr>
      <w:tblGrid>
        <w:gridCol w:w="2894"/>
        <w:gridCol w:w="1214"/>
        <w:gridCol w:w="1416"/>
        <w:gridCol w:w="1701"/>
        <w:gridCol w:w="1701"/>
      </w:tblGrid>
      <w:tr w:rsidR="00D60667" w:rsidRPr="00F53375" w14:paraId="6174F83C" w14:textId="77777777" w:rsidTr="00C618F9">
        <w:trPr>
          <w:cnfStyle w:val="100000000000" w:firstRow="1" w:lastRow="0" w:firstColumn="0" w:lastColumn="0" w:oddVBand="0" w:evenVBand="0" w:oddHBand="0"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894" w:type="dxa"/>
            <w:tcMar>
              <w:left w:w="28" w:type="dxa"/>
              <w:right w:w="28" w:type="dxa"/>
            </w:tcMar>
          </w:tcPr>
          <w:p w14:paraId="79CA312E" w14:textId="77777777" w:rsidR="00D60667" w:rsidRPr="00F53375" w:rsidRDefault="00D60667" w:rsidP="00472C6C">
            <w:pPr>
              <w:pStyle w:val="Heading2"/>
              <w:spacing w:line="216" w:lineRule="auto"/>
              <w:rPr>
                <w:rFonts w:asciiTheme="minorHAnsi" w:hAnsiTheme="minorHAnsi"/>
                <w:color w:val="FFFFFF" w:themeColor="background1"/>
                <w:sz w:val="20"/>
                <w:szCs w:val="20"/>
              </w:rPr>
            </w:pPr>
            <w:r w:rsidRPr="00F53375">
              <w:rPr>
                <w:rFonts w:asciiTheme="minorHAnsi" w:hAnsiTheme="minorHAnsi"/>
                <w:color w:val="FFFFFF" w:themeColor="background1"/>
                <w:sz w:val="20"/>
                <w:szCs w:val="20"/>
              </w:rPr>
              <w:t>Task</w:t>
            </w:r>
          </w:p>
        </w:tc>
        <w:tc>
          <w:tcPr>
            <w:tcW w:w="1214" w:type="dxa"/>
            <w:tcMar>
              <w:left w:w="28" w:type="dxa"/>
              <w:right w:w="28" w:type="dxa"/>
            </w:tcMar>
          </w:tcPr>
          <w:p w14:paraId="5CCDA805" w14:textId="77777777" w:rsidR="00D60667" w:rsidRPr="00F53375"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sidRPr="00F53375">
              <w:rPr>
                <w:rFonts w:asciiTheme="minorHAnsi" w:hAnsiTheme="minorHAnsi"/>
                <w:color w:val="FFFFFF" w:themeColor="background1"/>
                <w:sz w:val="20"/>
                <w:szCs w:val="20"/>
              </w:rPr>
              <w:t>Model</w:t>
            </w:r>
          </w:p>
        </w:tc>
        <w:tc>
          <w:tcPr>
            <w:tcW w:w="1416" w:type="dxa"/>
            <w:tcMar>
              <w:left w:w="28" w:type="dxa"/>
              <w:right w:w="28" w:type="dxa"/>
            </w:tcMar>
          </w:tcPr>
          <w:p w14:paraId="58B3C0D3" w14:textId="77777777" w:rsidR="00D60667" w:rsidRPr="00F53375"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Accuracy</w:t>
            </w:r>
          </w:p>
        </w:tc>
        <w:tc>
          <w:tcPr>
            <w:tcW w:w="1701" w:type="dxa"/>
            <w:tcMar>
              <w:left w:w="28" w:type="dxa"/>
              <w:right w:w="28" w:type="dxa"/>
            </w:tcMar>
          </w:tcPr>
          <w:p w14:paraId="02F945E8" w14:textId="77777777" w:rsidR="00D60667" w:rsidRPr="00F53375"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Macro F1</w:t>
            </w:r>
          </w:p>
        </w:tc>
        <w:tc>
          <w:tcPr>
            <w:tcW w:w="1701" w:type="dxa"/>
            <w:tcMar>
              <w:left w:w="28" w:type="dxa"/>
              <w:right w:w="28" w:type="dxa"/>
            </w:tcMar>
          </w:tcPr>
          <w:p w14:paraId="2FFB944C" w14:textId="77777777" w:rsidR="00D60667" w:rsidRDefault="00D60667" w:rsidP="00472C6C">
            <w:pPr>
              <w:pStyle w:val="Heading2"/>
              <w:spacing w:line="216" w:lineRule="auto"/>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sz w:val="20"/>
                <w:szCs w:val="20"/>
              </w:rPr>
            </w:pPr>
            <w:r>
              <w:rPr>
                <w:rFonts w:asciiTheme="minorHAnsi" w:hAnsiTheme="minorHAnsi"/>
                <w:color w:val="FFFFFF" w:themeColor="background1"/>
                <w:sz w:val="20"/>
                <w:szCs w:val="20"/>
              </w:rPr>
              <w:t>Weighted F1</w:t>
            </w:r>
          </w:p>
        </w:tc>
      </w:tr>
      <w:tr w:rsidR="00D60667" w:rsidRPr="00F53375" w14:paraId="55D685C1" w14:textId="77777777" w:rsidTr="00C618F9">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2894" w:type="dxa"/>
            <w:tcMar>
              <w:left w:w="28" w:type="dxa"/>
              <w:right w:w="28" w:type="dxa"/>
            </w:tcMar>
          </w:tcPr>
          <w:p w14:paraId="5F63F15C" w14:textId="77777777" w:rsidR="00D60667" w:rsidRPr="00F53375" w:rsidRDefault="00D60667" w:rsidP="00472C6C">
            <w:pPr>
              <w:pStyle w:val="Heading2"/>
              <w:spacing w:line="216" w:lineRule="auto"/>
              <w:rPr>
                <w:rFonts w:asciiTheme="minorHAnsi" w:hAnsiTheme="minorHAnsi"/>
                <w:color w:val="000000" w:themeColor="text1"/>
                <w:sz w:val="20"/>
                <w:szCs w:val="20"/>
              </w:rPr>
            </w:pPr>
            <w:r w:rsidRPr="00294C53">
              <w:rPr>
                <w:rFonts w:asciiTheme="minorHAnsi" w:hAnsiTheme="minorHAnsi"/>
                <w:color w:val="000000" w:themeColor="text1"/>
                <w:sz w:val="20"/>
                <w:szCs w:val="20"/>
              </w:rPr>
              <w:t>Volatility Regime Classification</w:t>
            </w:r>
          </w:p>
        </w:tc>
        <w:tc>
          <w:tcPr>
            <w:tcW w:w="1214" w:type="dxa"/>
            <w:tcMar>
              <w:left w:w="28" w:type="dxa"/>
              <w:right w:w="28" w:type="dxa"/>
            </w:tcMar>
          </w:tcPr>
          <w:p w14:paraId="182F2EEA"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Baseline</w:t>
            </w:r>
          </w:p>
        </w:tc>
        <w:tc>
          <w:tcPr>
            <w:tcW w:w="1416" w:type="dxa"/>
            <w:tcMar>
              <w:left w:w="28" w:type="dxa"/>
              <w:right w:w="28" w:type="dxa"/>
            </w:tcMar>
          </w:tcPr>
          <w:p w14:paraId="65278E56"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0.8731</w:t>
            </w:r>
          </w:p>
        </w:tc>
        <w:tc>
          <w:tcPr>
            <w:tcW w:w="1701" w:type="dxa"/>
            <w:tcMar>
              <w:left w:w="28" w:type="dxa"/>
              <w:right w:w="28" w:type="dxa"/>
            </w:tcMar>
          </w:tcPr>
          <w:p w14:paraId="398C7673"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0.7661</w:t>
            </w:r>
          </w:p>
        </w:tc>
        <w:tc>
          <w:tcPr>
            <w:tcW w:w="1701" w:type="dxa"/>
            <w:tcMar>
              <w:left w:w="28" w:type="dxa"/>
              <w:right w:w="28" w:type="dxa"/>
            </w:tcMar>
          </w:tcPr>
          <w:p w14:paraId="5CA8E142" w14:textId="77777777" w:rsidR="00D60667"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0.8731</w:t>
            </w:r>
          </w:p>
        </w:tc>
      </w:tr>
      <w:tr w:rsidR="00D60667" w:rsidRPr="00F53375" w14:paraId="5DFC4D13" w14:textId="77777777" w:rsidTr="00C618F9">
        <w:trPr>
          <w:trHeight w:val="302"/>
        </w:trPr>
        <w:tc>
          <w:tcPr>
            <w:cnfStyle w:val="001000000000" w:firstRow="0" w:lastRow="0" w:firstColumn="1" w:lastColumn="0" w:oddVBand="0" w:evenVBand="0" w:oddHBand="0" w:evenHBand="0" w:firstRowFirstColumn="0" w:firstRowLastColumn="0" w:lastRowFirstColumn="0" w:lastRowLastColumn="0"/>
            <w:tcW w:w="2894" w:type="dxa"/>
            <w:tcMar>
              <w:left w:w="28" w:type="dxa"/>
              <w:right w:w="28" w:type="dxa"/>
            </w:tcMar>
          </w:tcPr>
          <w:p w14:paraId="21D622B8" w14:textId="77777777" w:rsidR="00D60667" w:rsidRPr="00F53375" w:rsidRDefault="00D60667" w:rsidP="00472C6C">
            <w:pPr>
              <w:pStyle w:val="Heading2"/>
              <w:spacing w:line="216" w:lineRule="auto"/>
              <w:rPr>
                <w:rFonts w:asciiTheme="minorHAnsi" w:hAnsiTheme="minorHAnsi"/>
                <w:color w:val="000000" w:themeColor="text1"/>
                <w:sz w:val="20"/>
                <w:szCs w:val="20"/>
              </w:rPr>
            </w:pPr>
          </w:p>
        </w:tc>
        <w:tc>
          <w:tcPr>
            <w:tcW w:w="1214" w:type="dxa"/>
            <w:tcMar>
              <w:left w:w="28" w:type="dxa"/>
              <w:right w:w="28" w:type="dxa"/>
            </w:tcMar>
          </w:tcPr>
          <w:p w14:paraId="2EFEAC02"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Market</w:t>
            </w:r>
          </w:p>
        </w:tc>
        <w:tc>
          <w:tcPr>
            <w:tcW w:w="1416" w:type="dxa"/>
            <w:tcMar>
              <w:left w:w="28" w:type="dxa"/>
              <w:right w:w="28" w:type="dxa"/>
            </w:tcMar>
          </w:tcPr>
          <w:p w14:paraId="7B19A748"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0.76</w:t>
            </w:r>
          </w:p>
        </w:tc>
        <w:tc>
          <w:tcPr>
            <w:tcW w:w="1701" w:type="dxa"/>
            <w:tcMar>
              <w:left w:w="28" w:type="dxa"/>
              <w:right w:w="28" w:type="dxa"/>
            </w:tcMar>
          </w:tcPr>
          <w:p w14:paraId="22337E34" w14:textId="77777777" w:rsidR="00D60667" w:rsidRPr="00F53375"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0.33</w:t>
            </w:r>
          </w:p>
        </w:tc>
        <w:tc>
          <w:tcPr>
            <w:tcW w:w="1701" w:type="dxa"/>
            <w:tcMar>
              <w:left w:w="28" w:type="dxa"/>
              <w:right w:w="28" w:type="dxa"/>
            </w:tcMar>
          </w:tcPr>
          <w:p w14:paraId="2C7D4CE9" w14:textId="77777777" w:rsidR="00D60667" w:rsidRDefault="00D60667" w:rsidP="00472C6C">
            <w:pPr>
              <w:pStyle w:val="Heading2"/>
              <w:spacing w:line="216" w:lineRule="auto"/>
              <w:cnfStyle w:val="000000000000" w:firstRow="0" w:lastRow="0" w:firstColumn="0" w:lastColumn="0" w:oddVBand="0" w:evenVBand="0" w:oddHBand="0"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0.68</w:t>
            </w:r>
          </w:p>
        </w:tc>
      </w:tr>
      <w:tr w:rsidR="00D60667" w:rsidRPr="00F53375" w14:paraId="524ACC5A" w14:textId="77777777" w:rsidTr="00C618F9">
        <w:trPr>
          <w:cnfStyle w:val="000000100000" w:firstRow="0" w:lastRow="0" w:firstColumn="0" w:lastColumn="0" w:oddVBand="0" w:evenVBand="0" w:oddHBand="1" w:evenHBand="0" w:firstRowFirstColumn="0" w:firstRowLastColumn="0" w:lastRowFirstColumn="0" w:lastRowLastColumn="0"/>
          <w:trHeight w:val="302"/>
        </w:trPr>
        <w:tc>
          <w:tcPr>
            <w:cnfStyle w:val="001000000000" w:firstRow="0" w:lastRow="0" w:firstColumn="1" w:lastColumn="0" w:oddVBand="0" w:evenVBand="0" w:oddHBand="0" w:evenHBand="0" w:firstRowFirstColumn="0" w:firstRowLastColumn="0" w:lastRowFirstColumn="0" w:lastRowLastColumn="0"/>
            <w:tcW w:w="2894" w:type="dxa"/>
            <w:tcMar>
              <w:left w:w="28" w:type="dxa"/>
              <w:right w:w="28" w:type="dxa"/>
            </w:tcMar>
          </w:tcPr>
          <w:p w14:paraId="3325C837" w14:textId="77777777" w:rsidR="00D60667" w:rsidRPr="00F53375" w:rsidRDefault="00D60667" w:rsidP="00472C6C">
            <w:pPr>
              <w:pStyle w:val="Heading2"/>
              <w:spacing w:line="216" w:lineRule="auto"/>
              <w:rPr>
                <w:rFonts w:asciiTheme="minorHAnsi" w:hAnsiTheme="minorHAnsi"/>
                <w:color w:val="000000" w:themeColor="text1"/>
                <w:sz w:val="20"/>
                <w:szCs w:val="20"/>
              </w:rPr>
            </w:pPr>
          </w:p>
        </w:tc>
        <w:tc>
          <w:tcPr>
            <w:tcW w:w="1214" w:type="dxa"/>
            <w:tcMar>
              <w:left w:w="28" w:type="dxa"/>
              <w:right w:w="28" w:type="dxa"/>
            </w:tcMar>
          </w:tcPr>
          <w:p w14:paraId="4B7EB88D"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Pr>
                <w:rFonts w:asciiTheme="minorHAnsi" w:hAnsiTheme="minorHAnsi"/>
                <w:b w:val="0"/>
                <w:bCs w:val="0"/>
                <w:color w:val="000000" w:themeColor="text1"/>
                <w:sz w:val="20"/>
                <w:szCs w:val="20"/>
              </w:rPr>
              <w:t>Full</w:t>
            </w:r>
          </w:p>
        </w:tc>
        <w:tc>
          <w:tcPr>
            <w:tcW w:w="1416" w:type="dxa"/>
            <w:tcMar>
              <w:left w:w="28" w:type="dxa"/>
              <w:right w:w="28" w:type="dxa"/>
            </w:tcMar>
          </w:tcPr>
          <w:p w14:paraId="577AD981"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0.76</w:t>
            </w:r>
          </w:p>
        </w:tc>
        <w:tc>
          <w:tcPr>
            <w:tcW w:w="1701" w:type="dxa"/>
            <w:tcMar>
              <w:left w:w="28" w:type="dxa"/>
              <w:right w:w="28" w:type="dxa"/>
            </w:tcMar>
          </w:tcPr>
          <w:p w14:paraId="1EF7135D" w14:textId="77777777" w:rsidR="00D60667" w:rsidRPr="00F53375"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0.34</w:t>
            </w:r>
          </w:p>
        </w:tc>
        <w:tc>
          <w:tcPr>
            <w:tcW w:w="1701" w:type="dxa"/>
            <w:tcMar>
              <w:left w:w="28" w:type="dxa"/>
              <w:right w:w="28" w:type="dxa"/>
            </w:tcMar>
          </w:tcPr>
          <w:p w14:paraId="07AEA70A" w14:textId="77777777" w:rsidR="00D60667" w:rsidRDefault="00D60667" w:rsidP="00472C6C">
            <w:pPr>
              <w:pStyle w:val="Heading2"/>
              <w:spacing w:line="216" w:lineRule="auto"/>
              <w:cnfStyle w:val="000000100000" w:firstRow="0" w:lastRow="0" w:firstColumn="0" w:lastColumn="0" w:oddVBand="0" w:evenVBand="0" w:oddHBand="1" w:evenHBand="0" w:firstRowFirstColumn="0" w:firstRowLastColumn="0" w:lastRowFirstColumn="0" w:lastRowLastColumn="0"/>
              <w:rPr>
                <w:rFonts w:asciiTheme="minorHAnsi" w:hAnsiTheme="minorHAnsi"/>
                <w:b w:val="0"/>
                <w:bCs w:val="0"/>
                <w:color w:val="000000" w:themeColor="text1"/>
                <w:sz w:val="20"/>
                <w:szCs w:val="20"/>
              </w:rPr>
            </w:pPr>
            <w:r w:rsidRPr="00294C53">
              <w:rPr>
                <w:rFonts w:asciiTheme="minorHAnsi" w:hAnsiTheme="minorHAnsi"/>
                <w:b w:val="0"/>
                <w:bCs w:val="0"/>
                <w:color w:val="000000" w:themeColor="text1"/>
                <w:sz w:val="20"/>
                <w:szCs w:val="20"/>
              </w:rPr>
              <w:t>0.68</w:t>
            </w:r>
          </w:p>
        </w:tc>
      </w:tr>
    </w:tbl>
    <w:p w14:paraId="1A8E687F" w14:textId="77777777" w:rsidR="00D60667" w:rsidRPr="00294C53" w:rsidRDefault="00D60667" w:rsidP="00472C6C">
      <w:pPr>
        <w:pStyle w:val="Heading2"/>
        <w:spacing w:line="216" w:lineRule="auto"/>
        <w:rPr>
          <w:rFonts w:asciiTheme="minorHAnsi" w:hAnsiTheme="minorHAnsi"/>
          <w:i/>
          <w:iCs/>
          <w:sz w:val="15"/>
          <w:szCs w:val="15"/>
        </w:rPr>
      </w:pPr>
      <w:r>
        <w:rPr>
          <w:rFonts w:asciiTheme="minorHAnsi" w:hAnsiTheme="minorHAnsi"/>
          <w:i/>
          <w:iCs/>
          <w:sz w:val="15"/>
          <w:szCs w:val="15"/>
        </w:rPr>
        <w:t>Table 3. Volatility Regime Task</w:t>
      </w:r>
    </w:p>
    <w:p w14:paraId="644B94C5"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However, the ability to forecast larger movements of volatility is more difficult, and the addition of the frequency signals helps very little. The model using only the market data and the model using all the features perform roughly the same for the accuracy and the macro F1. If we remove the frequency features, the results remain roughly the same.</w:t>
      </w:r>
    </w:p>
    <w:p w14:paraId="42973217"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This makes a certain degree of sense when you consider the way the regime labels are constructed. The target variable is the variance over the next four settlement intervals, or roughly an hour into the future. Therefore, the changes of regime are driven more by the price momentum and the general, longer-term market conditions than by the rapid, second-to-second movements of the frequency. The short horizon frequency micro signals provide limited additional information on the behaviour at this level. Most importantly, neither the model using the market data alone nor the model using the full features performs better than the persistence baseline. This indicates that, for the purpose of forecasting the level of volatility, the key signal is the regime continuity and not the frequency-driven stress in the system.</w:t>
      </w:r>
    </w:p>
    <w:p w14:paraId="3D69851B" w14:textId="77777777" w:rsidR="00D60667" w:rsidRPr="00E23A38" w:rsidRDefault="00D60667" w:rsidP="00472C6C">
      <w:pPr>
        <w:pStyle w:val="Heading1"/>
        <w:pBdr>
          <w:bottom w:val="single" w:sz="6" w:space="4" w:color="2E75B6"/>
        </w:pBdr>
        <w:spacing w:line="216" w:lineRule="auto"/>
        <w:rPr>
          <w:rFonts w:asciiTheme="minorHAnsi" w:hAnsiTheme="minorHAnsi"/>
          <w:sz w:val="20"/>
          <w:szCs w:val="20"/>
        </w:rPr>
      </w:pPr>
      <w:r w:rsidRPr="00E23A38">
        <w:rPr>
          <w:rFonts w:asciiTheme="minorHAnsi" w:hAnsiTheme="minorHAnsi"/>
          <w:sz w:val="20"/>
          <w:szCs w:val="20"/>
        </w:rPr>
        <w:t>8. Discussion</w:t>
      </w:r>
    </w:p>
    <w:p w14:paraId="1424341A" w14:textId="77777777" w:rsidR="00D60667" w:rsidRPr="007B532B"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lastRenderedPageBreak/>
        <w:t xml:space="preserve"> </w:t>
      </w:r>
      <w:r w:rsidRPr="007B532B">
        <w:rPr>
          <w:rFonts w:asciiTheme="minorHAnsi" w:hAnsiTheme="minorHAnsi"/>
          <w:sz w:val="20"/>
          <w:szCs w:val="20"/>
        </w:rPr>
        <w:t>The results suggest that grid frequency micro-signals are more useful as indicators of near-future system stress than as predictors of precise imbalance price levels. Their strongest predictive value appears in rare-event settings, where market-only features are weakest and the addition of frequency-derived features produces the clearest relative gains. This is consistent with the physical role of frequency in power system operation, since frequency reflects the real-time balance between generation and demand and responds immediately to emerging system stress [1], [7]. It is also broadly consistent with the wider electricity price literature, where extreme events are treated as structurally different from normal price movements and often require specialised modelling strategies rather than standard point-forecasting approaches [4], [10], [11].</w:t>
      </w:r>
    </w:p>
    <w:p w14:paraId="4BEF9460" w14:textId="77777777" w:rsidR="00D60667" w:rsidRPr="007B532B" w:rsidRDefault="00D60667" w:rsidP="00472C6C">
      <w:pPr>
        <w:spacing w:before="80" w:after="140" w:line="216" w:lineRule="auto"/>
        <w:jc w:val="both"/>
        <w:rPr>
          <w:rFonts w:asciiTheme="minorHAnsi" w:hAnsiTheme="minorHAnsi"/>
          <w:sz w:val="20"/>
          <w:szCs w:val="20"/>
        </w:rPr>
      </w:pPr>
      <w:r w:rsidRPr="007B532B">
        <w:rPr>
          <w:rFonts w:asciiTheme="minorHAnsi" w:hAnsiTheme="minorHAnsi"/>
          <w:sz w:val="20"/>
          <w:szCs w:val="20"/>
        </w:rPr>
        <w:t>At the same time, the findings are somewhat weaker than those reported in parts of the recent forecasting literature, where hybrid and decomposition-based models achieve stronger improvements in general electricity price prediction [8], [9]. A likely reason is that those studies are primarily designed to maximise predictive accuracy for the price series itself, whereas the objective here is different: to test whether engineered frequency-derived micro-signals provide incremental information beyond conventional market variables. In addition, this project focuses on German reBAP imbalance prices rather than standard wholesale electricity prices, which are shaped by different market mechanisms and may therefore be less directly predictable from physical frequency behaviour alone [6].</w:t>
      </w:r>
    </w:p>
    <w:p w14:paraId="411BF2ED" w14:textId="77777777" w:rsidR="00D60667" w:rsidRPr="007B532B" w:rsidRDefault="00D60667" w:rsidP="00472C6C">
      <w:pPr>
        <w:spacing w:before="80" w:after="140" w:line="216" w:lineRule="auto"/>
        <w:jc w:val="both"/>
        <w:rPr>
          <w:rFonts w:asciiTheme="minorHAnsi" w:hAnsiTheme="minorHAnsi"/>
          <w:sz w:val="20"/>
          <w:szCs w:val="20"/>
        </w:rPr>
      </w:pPr>
      <w:r w:rsidRPr="007B532B">
        <w:rPr>
          <w:rFonts w:asciiTheme="minorHAnsi" w:hAnsiTheme="minorHAnsi"/>
          <w:sz w:val="20"/>
          <w:szCs w:val="20"/>
        </w:rPr>
        <w:t>This also helps explain why the frequency features do not improve general price-level forecasting to the same extent. Frequency provides a physically meaningful signal of imbalance formation, but the final reBAP outcome is still shaped by balancing-market design, reserve scarcity, and settlement rules. In that sense, the results support a narrower conclusion than general price forecasting: frequency micro-signals appear to be most informative for identifying elevated imbalance risk rather than estimating the exact magnitude of the final price response. This interpretation is also consistent with prior work on price spikes, where threshold choice, event definition, and evaluation strategy are central because rare spikes behave differently from normal price observations [4], [10], [11].</w:t>
      </w:r>
    </w:p>
    <w:p w14:paraId="684355F2" w14:textId="77777777" w:rsidR="00D60667" w:rsidRPr="00E23A38" w:rsidRDefault="00D60667" w:rsidP="00472C6C">
      <w:pPr>
        <w:spacing w:before="80" w:after="140" w:line="216" w:lineRule="auto"/>
        <w:jc w:val="both"/>
        <w:rPr>
          <w:rFonts w:asciiTheme="minorHAnsi" w:hAnsiTheme="minorHAnsi"/>
          <w:sz w:val="20"/>
          <w:szCs w:val="20"/>
        </w:rPr>
      </w:pPr>
      <w:r w:rsidRPr="007B532B">
        <w:rPr>
          <w:rFonts w:asciiTheme="minorHAnsi" w:hAnsiTheme="minorHAnsi"/>
          <w:sz w:val="20"/>
          <w:szCs w:val="20"/>
        </w:rPr>
        <w:t>There are, however, important limitations to the study. The analysis is restricted to 2012–2016, which is the last period for which a consistent high-resolution frequency dataset is available before the documented change in measurement precision. In addition, the relationship identified here is tested using frequency data from the Continental European synchronous area and a German imbalance price target, so the model links a system-wide physical signal to a country-specific market outcome. Finally, aggregating second-level frequency behaviour into 15-minute settlement intervals may smooth some shorter-lived effects. A cautious interpretation is therefore required: the evidence here is strongest for rare-event detection and stress indication, while future work could examine whether hybrid models or newer market data improve the prediction of exact price magnitudes.</w:t>
      </w:r>
    </w:p>
    <w:p w14:paraId="7A451BAC" w14:textId="77777777" w:rsidR="00D60667" w:rsidRPr="00E23A38" w:rsidRDefault="00D60667" w:rsidP="00472C6C">
      <w:pPr>
        <w:pStyle w:val="Heading1"/>
        <w:pBdr>
          <w:bottom w:val="single" w:sz="6" w:space="4" w:color="2E75B6"/>
        </w:pBdr>
        <w:spacing w:line="216" w:lineRule="auto"/>
        <w:rPr>
          <w:rFonts w:asciiTheme="minorHAnsi" w:hAnsiTheme="minorHAnsi"/>
          <w:sz w:val="20"/>
          <w:szCs w:val="20"/>
        </w:rPr>
      </w:pPr>
      <w:r w:rsidRPr="00E23A38">
        <w:rPr>
          <w:rFonts w:asciiTheme="minorHAnsi" w:hAnsiTheme="minorHAnsi"/>
          <w:sz w:val="20"/>
          <w:szCs w:val="20"/>
        </w:rPr>
        <w:t>9. Conclusion</w:t>
      </w:r>
    </w:p>
    <w:p w14:paraId="484391DD"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The question posed by this project was whether second-level grid frequency measurements within the German power system contained predictive information for short-term electricity imbalance prices, over and above what conventional market data provided.</w:t>
      </w:r>
    </w:p>
    <w:p w14:paraId="633FB934"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The findings are mixed and depend on the prediction target. When it comes to prediction itself, specifically the magnitude of price movements or a regression problem, or a regime prediction problem, the benefits are relatively minor. However, when it comes to the prediction of rare events, the case for the central idea is strongest. Specifically, a 30% relative improvement for spike prediction and a jump from nearly zero event prediction with market features to an F1 score of 0.449 with the full feature set give the strongest endorsement to the central idea.</w:t>
      </w:r>
    </w:p>
    <w:p w14:paraId="1EB0EBA4" w14:textId="77777777" w:rsidR="00D60667"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The broader lesson learned from this work is that electricity markets are built on a substrate that is physically observable. Specifically, grid frequency is a real-time measure of system imbalance that precedes price formation and appears to contain useful information for anticipating certain price events, especially rare stress events. Therefore, understanding this physical microstructure as a key part of the problem, rather than an afterthought, represents a systematic way forward for improved spike event prediction, even if the precise price prediction problem itself remains elusive.</w:t>
      </w:r>
    </w:p>
    <w:p w14:paraId="4E2B27B7" w14:textId="689F7464" w:rsidR="00472C6C" w:rsidRPr="00E23A38" w:rsidRDefault="00D60667" w:rsidP="00472C6C">
      <w:pPr>
        <w:spacing w:before="80" w:after="140" w:line="216" w:lineRule="auto"/>
        <w:jc w:val="both"/>
        <w:rPr>
          <w:rFonts w:asciiTheme="minorHAnsi" w:hAnsiTheme="minorHAnsi"/>
          <w:sz w:val="20"/>
          <w:szCs w:val="20"/>
        </w:rPr>
      </w:pPr>
      <w:r w:rsidRPr="00E23A38">
        <w:rPr>
          <w:rFonts w:asciiTheme="minorHAnsi" w:hAnsiTheme="minorHAnsi"/>
          <w:sz w:val="20"/>
          <w:szCs w:val="20"/>
        </w:rPr>
        <w:t>Across the tasks, the contribution of frequency-derived features is not uniform. Their impact is limited for point forecasting and volatility regime prediction, where persistence and conventional market variables dominate. In contrast, their value is strongest in rare-event prediction, where they provide the clearest incremental signal beyond market-only baselines.</w:t>
      </w:r>
    </w:p>
    <w:p w14:paraId="0CB06B92" w14:textId="77777777" w:rsidR="00D60667" w:rsidRPr="00E23A38" w:rsidRDefault="00D60667" w:rsidP="00472C6C">
      <w:pPr>
        <w:pStyle w:val="Heading1"/>
        <w:pBdr>
          <w:bottom w:val="single" w:sz="6" w:space="4" w:color="2E75B6"/>
        </w:pBdr>
        <w:spacing w:line="216" w:lineRule="auto"/>
        <w:rPr>
          <w:rFonts w:asciiTheme="minorHAnsi" w:hAnsiTheme="minorHAnsi"/>
          <w:sz w:val="20"/>
          <w:szCs w:val="20"/>
        </w:rPr>
      </w:pPr>
      <w:r w:rsidRPr="00E23A38">
        <w:rPr>
          <w:rFonts w:asciiTheme="minorHAnsi" w:hAnsiTheme="minorHAnsi"/>
          <w:sz w:val="20"/>
          <w:szCs w:val="20"/>
        </w:rPr>
        <w:lastRenderedPageBreak/>
        <w:t>References</w:t>
      </w:r>
    </w:p>
    <w:p w14:paraId="671B74B6"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[1</w:t>
      </w:r>
      <w:proofErr w:type="gramStart"/>
      <w:r w:rsidRPr="00E23A38">
        <w:rPr>
          <w:rFonts w:asciiTheme="minorHAnsi" w:hAnsiTheme="minorHAnsi"/>
          <w:sz w:val="20"/>
          <w:szCs w:val="20"/>
        </w:rPr>
        <w:t>]  J.</w:t>
      </w:r>
      <w:proofErr w:type="gramEnd"/>
      <w:r w:rsidRPr="00E23A38">
        <w:rPr>
          <w:rFonts w:asciiTheme="minorHAnsi" w:hAnsiTheme="minorHAnsi"/>
          <w:sz w:val="20"/>
          <w:szCs w:val="20"/>
        </w:rPr>
        <w:t xml:space="preserve"> Kruse, B. Schäfer, and D. </w:t>
      </w:r>
      <w:proofErr w:type="spellStart"/>
      <w:r w:rsidRPr="00E23A38">
        <w:rPr>
          <w:rFonts w:asciiTheme="minorHAnsi" w:hAnsiTheme="minorHAnsi"/>
          <w:sz w:val="20"/>
          <w:szCs w:val="20"/>
        </w:rPr>
        <w:t>Witthaut</w:t>
      </w:r>
      <w:proofErr w:type="spellEnd"/>
      <w:r w:rsidRPr="00E23A38">
        <w:rPr>
          <w:rFonts w:asciiTheme="minorHAnsi" w:hAnsiTheme="minorHAnsi"/>
          <w:sz w:val="20"/>
          <w:szCs w:val="20"/>
        </w:rPr>
        <w:t>, "Predictability of power grid frequency," IEEE Access, vol. 8, pp. 149435-149449, 2020.</w:t>
      </w:r>
    </w:p>
    <w:p w14:paraId="23595E8F"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[2</w:t>
      </w:r>
      <w:proofErr w:type="gramStart"/>
      <w:r w:rsidRPr="00E23A38">
        <w:rPr>
          <w:rFonts w:asciiTheme="minorHAnsi" w:hAnsiTheme="minorHAnsi"/>
          <w:sz w:val="20"/>
          <w:szCs w:val="20"/>
        </w:rPr>
        <w:t>]  W.</w:t>
      </w:r>
      <w:proofErr w:type="gramEnd"/>
      <w:r w:rsidRPr="00E23A38">
        <w:rPr>
          <w:rFonts w:asciiTheme="minorHAnsi" w:hAnsiTheme="minorHAnsi"/>
          <w:sz w:val="20"/>
          <w:szCs w:val="20"/>
        </w:rPr>
        <w:t xml:space="preserve"> Sai et al., "Event-driven forecasting of wholesale electricity price and frequency regulation price using machine learning algorithms," Applied Energy, vol. 352, p. 121989, 2023.</w:t>
      </w:r>
    </w:p>
    <w:p w14:paraId="368D51C4"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[3</w:t>
      </w:r>
      <w:proofErr w:type="gramStart"/>
      <w:r w:rsidRPr="00E23A38">
        <w:rPr>
          <w:rFonts w:asciiTheme="minorHAnsi" w:hAnsiTheme="minorHAnsi"/>
          <w:sz w:val="20"/>
          <w:szCs w:val="20"/>
        </w:rPr>
        <w:t>]  K.</w:t>
      </w:r>
      <w:proofErr w:type="gramEnd"/>
      <w:r w:rsidRPr="00E23A38">
        <w:rPr>
          <w:rFonts w:asciiTheme="minorHAnsi" w:hAnsiTheme="minorHAnsi"/>
          <w:sz w:val="20"/>
          <w:szCs w:val="20"/>
        </w:rPr>
        <w:t xml:space="preserve"> Wang et al., "Robust big data analytics for electricity price forecasting in the smart grid," IEEE Transactions on Big Data, vol. 5, no. 1, pp. 34-47, 2019.</w:t>
      </w:r>
    </w:p>
    <w:p w14:paraId="6686A06C"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[4</w:t>
      </w:r>
      <w:proofErr w:type="gramStart"/>
      <w:r w:rsidRPr="00E23A38">
        <w:rPr>
          <w:rFonts w:asciiTheme="minorHAnsi" w:hAnsiTheme="minorHAnsi"/>
          <w:sz w:val="20"/>
          <w:szCs w:val="20"/>
        </w:rPr>
        <w:t>]  C.</w:t>
      </w:r>
      <w:proofErr w:type="gramEnd"/>
      <w:r w:rsidRPr="00E23A38">
        <w:rPr>
          <w:rFonts w:asciiTheme="minorHAnsi" w:hAnsiTheme="minorHAnsi"/>
          <w:sz w:val="20"/>
          <w:szCs w:val="20"/>
        </w:rPr>
        <w:t xml:space="preserve"> Zhang, Y. Fu, and L. Gong, "Short-term electricity price forecast using frequency analysis and price spikes oversampling," IEEE Transactions on Power Systems, vol. 38, no. 5, pp. 4739-4753, 2023.</w:t>
      </w:r>
    </w:p>
    <w:p w14:paraId="55C52F5E"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[5</w:t>
      </w:r>
      <w:proofErr w:type="gramStart"/>
      <w:r w:rsidRPr="00E23A38">
        <w:rPr>
          <w:rFonts w:asciiTheme="minorHAnsi" w:hAnsiTheme="minorHAnsi"/>
          <w:sz w:val="20"/>
          <w:szCs w:val="20"/>
        </w:rPr>
        <w:t>]  Power</w:t>
      </w:r>
      <w:proofErr w:type="gramEnd"/>
      <w:r w:rsidRPr="00E23A38">
        <w:rPr>
          <w:rFonts w:asciiTheme="minorHAnsi" w:hAnsiTheme="minorHAnsi"/>
          <w:sz w:val="20"/>
          <w:szCs w:val="20"/>
        </w:rPr>
        <w:t xml:space="preserve"> Grid Frequency Database, "European power grid frequency measurements," https://power-grid-frequency.org/database/, accessed Jan. 2026.</w:t>
      </w:r>
    </w:p>
    <w:p w14:paraId="08B704B7"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[6</w:t>
      </w:r>
      <w:proofErr w:type="gramStart"/>
      <w:r w:rsidRPr="00E23A38">
        <w:rPr>
          <w:rFonts w:asciiTheme="minorHAnsi" w:hAnsiTheme="minorHAnsi"/>
          <w:sz w:val="20"/>
          <w:szCs w:val="20"/>
        </w:rPr>
        <w:t xml:space="preserve">]  </w:t>
      </w:r>
      <w:proofErr w:type="spellStart"/>
      <w:r w:rsidRPr="00E23A38">
        <w:rPr>
          <w:rFonts w:asciiTheme="minorHAnsi" w:hAnsiTheme="minorHAnsi"/>
          <w:sz w:val="20"/>
          <w:szCs w:val="20"/>
        </w:rPr>
        <w:t>Netztransparenz</w:t>
      </w:r>
      <w:proofErr w:type="spellEnd"/>
      <w:proofErr w:type="gramEnd"/>
      <w:r w:rsidRPr="00E23A38">
        <w:rPr>
          <w:rFonts w:asciiTheme="minorHAnsi" w:hAnsiTheme="minorHAnsi"/>
          <w:sz w:val="20"/>
          <w:szCs w:val="20"/>
        </w:rPr>
        <w:t>, "Uniform imbalance price (reBAP)," https://www.netztransparenz.de/en/Balancing-Capacity/Imbalance-price/Uniform-imbalance-price-reBAP, accessed Jan. 2026.</w:t>
      </w:r>
    </w:p>
    <w:p w14:paraId="703C929B"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 xml:space="preserve">[7] J. Kruse, B. Schäfer, and D. </w:t>
      </w:r>
      <w:proofErr w:type="spellStart"/>
      <w:r w:rsidRPr="00E23A38">
        <w:rPr>
          <w:rFonts w:asciiTheme="minorHAnsi" w:hAnsiTheme="minorHAnsi"/>
          <w:sz w:val="20"/>
          <w:szCs w:val="20"/>
        </w:rPr>
        <w:t>Witthaut</w:t>
      </w:r>
      <w:proofErr w:type="spellEnd"/>
      <w:r w:rsidRPr="00E23A38">
        <w:rPr>
          <w:rFonts w:asciiTheme="minorHAnsi" w:hAnsiTheme="minorHAnsi"/>
          <w:sz w:val="20"/>
          <w:szCs w:val="20"/>
        </w:rPr>
        <w:t>, “Revealing drivers and risks for power grid frequency stability with explainable AI,” Patterns, vol. 2, no. 11, p. 100365, 2021.</w:t>
      </w:r>
    </w:p>
    <w:p w14:paraId="5ED13201"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[8] Y. Xu, X. Huang, Z. Gao, M. Mohamed, and T. Jin, “A novel electricity price forecasting approach based on multi-attention feature fusion model optimized by variational mode decomposition,” Measurement, vol. 226, p. 113864, 2025.</w:t>
      </w:r>
    </w:p>
    <w:p w14:paraId="1A782735"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[9] Y. Xu, X. Huang, Z. Zeng, and T. Jin, “VMD-ATT-LSTM electricity price prediction based on grey wolf optimization algorithm in electricity markets considering renewable energy,” Renewable Energy, vol. 224, pp. 1200–1214, 2024.</w:t>
      </w:r>
    </w:p>
    <w:p w14:paraId="0E84E3BD"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 xml:space="preserve">[10] M. Zamudio López, H. </w:t>
      </w:r>
      <w:proofErr w:type="spellStart"/>
      <w:r w:rsidRPr="00E23A38">
        <w:rPr>
          <w:rFonts w:asciiTheme="minorHAnsi" w:hAnsiTheme="minorHAnsi"/>
          <w:sz w:val="20"/>
          <w:szCs w:val="20"/>
        </w:rPr>
        <w:t>Zareipour</w:t>
      </w:r>
      <w:proofErr w:type="spellEnd"/>
      <w:r w:rsidRPr="00E23A38">
        <w:rPr>
          <w:rFonts w:asciiTheme="minorHAnsi" w:hAnsiTheme="minorHAnsi"/>
          <w:sz w:val="20"/>
          <w:szCs w:val="20"/>
        </w:rPr>
        <w:t>, and M. Quashie, “Forecasting the occurrence of electricity price spikes: A statistical-economic investigation study,” Forecasting, vol. 6, no. 1, pp. 1–18, 2024.</w:t>
      </w:r>
    </w:p>
    <w:p w14:paraId="1B218814" w14:textId="77777777" w:rsidR="00D60667" w:rsidRPr="00E23A38"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 xml:space="preserve">[11] M. Zamudio López and H. </w:t>
      </w:r>
      <w:proofErr w:type="spellStart"/>
      <w:r w:rsidRPr="00E23A38">
        <w:rPr>
          <w:rFonts w:asciiTheme="minorHAnsi" w:hAnsiTheme="minorHAnsi"/>
          <w:sz w:val="20"/>
          <w:szCs w:val="20"/>
        </w:rPr>
        <w:t>Zareipour</w:t>
      </w:r>
      <w:proofErr w:type="spellEnd"/>
      <w:r w:rsidRPr="00E23A38">
        <w:rPr>
          <w:rFonts w:asciiTheme="minorHAnsi" w:hAnsiTheme="minorHAnsi"/>
          <w:sz w:val="20"/>
          <w:szCs w:val="20"/>
        </w:rPr>
        <w:t>, “</w:t>
      </w:r>
      <w:proofErr w:type="spellStart"/>
      <w:r w:rsidRPr="00E23A38">
        <w:rPr>
          <w:rFonts w:asciiTheme="minorHAnsi" w:hAnsiTheme="minorHAnsi"/>
          <w:sz w:val="20"/>
          <w:szCs w:val="20"/>
        </w:rPr>
        <w:t>Modeling</w:t>
      </w:r>
      <w:proofErr w:type="spellEnd"/>
      <w:r w:rsidRPr="00E23A38">
        <w:rPr>
          <w:rFonts w:asciiTheme="minorHAnsi" w:hAnsiTheme="minorHAnsi"/>
          <w:sz w:val="20"/>
          <w:szCs w:val="20"/>
        </w:rPr>
        <w:t xml:space="preserve"> the duration of electricity price spikes using survival analysis,” Energies, vol. 18, no. 5, p. 5255, 2025.</w:t>
      </w:r>
    </w:p>
    <w:p w14:paraId="3A44392F" w14:textId="30403E50" w:rsidR="008634FB" w:rsidRPr="00D60667" w:rsidRDefault="00D60667" w:rsidP="00472C6C">
      <w:pPr>
        <w:spacing w:before="80" w:after="140" w:line="216" w:lineRule="auto"/>
        <w:rPr>
          <w:rFonts w:asciiTheme="minorHAnsi" w:hAnsiTheme="minorHAnsi"/>
          <w:sz w:val="20"/>
          <w:szCs w:val="20"/>
        </w:rPr>
      </w:pPr>
      <w:r w:rsidRPr="00E23A38">
        <w:rPr>
          <w:rFonts w:asciiTheme="minorHAnsi" w:hAnsiTheme="minorHAnsi"/>
          <w:sz w:val="20"/>
          <w:szCs w:val="20"/>
        </w:rPr>
        <w:t>[12] Z. Chen, B. Zhang, C. Du, C. Yang, and W. Gui, “Outlier-adaptive-based non-crossing quantiles method for day-ahead electricity price forecasting,” Applied Energy, vol. 370, p. 123456, 2025.</w:t>
      </w:r>
    </w:p>
    <w:sectPr w:rsidR="008634FB" w:rsidRPr="00D60667" w:rsidSect="00472C6C">
      <w:headerReference w:type="default" r:id="rId7"/>
      <w:footerReference w:type="even" r:id="rId8"/>
      <w:footerReference w:type="default" r:id="rId9"/>
      <w:pgSz w:w="11906" w:h="16838"/>
      <w:pgMar w:top="1440" w:right="1440" w:bottom="1440" w:left="1440" w:header="510"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AFCAFD" w14:textId="77777777" w:rsidR="00271378" w:rsidRDefault="00271378">
      <w:r>
        <w:separator/>
      </w:r>
    </w:p>
  </w:endnote>
  <w:endnote w:type="continuationSeparator" w:id="0">
    <w:p w14:paraId="041E63A4" w14:textId="77777777" w:rsidR="00271378" w:rsidRDefault="002713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3046117"/>
      <w:docPartObj>
        <w:docPartGallery w:val="Page Numbers (Bottom of Page)"/>
        <w:docPartUnique/>
      </w:docPartObj>
    </w:sdtPr>
    <w:sdtContent>
      <w:p w14:paraId="5597D697" w14:textId="31C37D31" w:rsidR="00786B6D" w:rsidRDefault="00786B6D" w:rsidP="00172D6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722D6B9" w14:textId="77777777" w:rsidR="00786B6D" w:rsidRDefault="00786B6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60902517"/>
      <w:docPartObj>
        <w:docPartGallery w:val="Page Numbers (Bottom of Page)"/>
        <w:docPartUnique/>
      </w:docPartObj>
    </w:sdtPr>
    <w:sdtContent>
      <w:p w14:paraId="41559F76" w14:textId="4B585E65" w:rsidR="00786B6D" w:rsidRDefault="00786B6D" w:rsidP="00172D6D">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7</w:t>
        </w:r>
        <w:r>
          <w:rPr>
            <w:rStyle w:val="PageNumber"/>
          </w:rPr>
          <w:fldChar w:fldCharType="end"/>
        </w:r>
      </w:p>
    </w:sdtContent>
  </w:sdt>
  <w:p w14:paraId="6ABBAB32" w14:textId="14EA87B5" w:rsidR="00786B6D" w:rsidRDefault="00786B6D" w:rsidP="00786B6D">
    <w:pPr>
      <w:pBdr>
        <w:top w:val="single" w:sz="4" w:space="3" w:color="CCCCCC"/>
      </w:pBdr>
      <w:tabs>
        <w:tab w:val="left" w:pos="152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2F606" w14:textId="77777777" w:rsidR="00271378" w:rsidRDefault="00271378">
      <w:r>
        <w:separator/>
      </w:r>
    </w:p>
  </w:footnote>
  <w:footnote w:type="continuationSeparator" w:id="0">
    <w:p w14:paraId="76553F72" w14:textId="77777777" w:rsidR="00271378" w:rsidRDefault="002713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642F4" w14:textId="77777777" w:rsidR="00472C6C" w:rsidRDefault="00472C6C">
    <w:pPr>
      <w:pStyle w:val="Header"/>
    </w:pPr>
  </w:p>
  <w:p w14:paraId="27E58EEC" w14:textId="77777777" w:rsidR="00472C6C" w:rsidRDefault="00472C6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513AE"/>
    <w:multiLevelType w:val="hybridMultilevel"/>
    <w:tmpl w:val="6CA0A5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0D645F0"/>
    <w:multiLevelType w:val="hybridMultilevel"/>
    <w:tmpl w:val="9AEA713A"/>
    <w:lvl w:ilvl="0" w:tplc="2ADC9142">
      <w:start w:val="1"/>
      <w:numFmt w:val="bullet"/>
      <w:lvlText w:val="•"/>
      <w:lvlJc w:val="left"/>
      <w:pPr>
        <w:ind w:left="720" w:hanging="360"/>
      </w:pPr>
    </w:lvl>
    <w:lvl w:ilvl="1" w:tplc="0BF87684">
      <w:start w:val="1"/>
      <w:numFmt w:val="bullet"/>
      <w:lvlText w:val="◦"/>
      <w:lvlJc w:val="left"/>
      <w:pPr>
        <w:ind w:left="1080" w:hanging="360"/>
      </w:pPr>
    </w:lvl>
    <w:lvl w:ilvl="2" w:tplc="29A65358">
      <w:numFmt w:val="decimal"/>
      <w:lvlText w:val=""/>
      <w:lvlJc w:val="left"/>
    </w:lvl>
    <w:lvl w:ilvl="3" w:tplc="B7327AFA">
      <w:numFmt w:val="decimal"/>
      <w:lvlText w:val=""/>
      <w:lvlJc w:val="left"/>
    </w:lvl>
    <w:lvl w:ilvl="4" w:tplc="2C6808A2">
      <w:numFmt w:val="decimal"/>
      <w:lvlText w:val=""/>
      <w:lvlJc w:val="left"/>
    </w:lvl>
    <w:lvl w:ilvl="5" w:tplc="8484637C">
      <w:numFmt w:val="decimal"/>
      <w:lvlText w:val=""/>
      <w:lvlJc w:val="left"/>
    </w:lvl>
    <w:lvl w:ilvl="6" w:tplc="FEC0D37E">
      <w:numFmt w:val="decimal"/>
      <w:lvlText w:val=""/>
      <w:lvlJc w:val="left"/>
    </w:lvl>
    <w:lvl w:ilvl="7" w:tplc="21E81E28">
      <w:numFmt w:val="decimal"/>
      <w:lvlText w:val=""/>
      <w:lvlJc w:val="left"/>
    </w:lvl>
    <w:lvl w:ilvl="8" w:tplc="2FA66E78">
      <w:numFmt w:val="decimal"/>
      <w:lvlText w:val=""/>
      <w:lvlJc w:val="left"/>
    </w:lvl>
  </w:abstractNum>
  <w:abstractNum w:abstractNumId="2" w15:restartNumberingAfterBreak="0">
    <w:nsid w:val="036442F9"/>
    <w:multiLevelType w:val="hybridMultilevel"/>
    <w:tmpl w:val="5AFC0D86"/>
    <w:lvl w:ilvl="0" w:tplc="08090001">
      <w:start w:val="1"/>
      <w:numFmt w:val="bullet"/>
      <w:lvlText w:val=""/>
      <w:lvlJc w:val="left"/>
      <w:pPr>
        <w:ind w:left="760" w:hanging="360"/>
      </w:pPr>
      <w:rPr>
        <w:rFonts w:ascii="Symbol" w:hAnsi="Symbol" w:hint="default"/>
      </w:rPr>
    </w:lvl>
    <w:lvl w:ilvl="1" w:tplc="08090003" w:tentative="1">
      <w:start w:val="1"/>
      <w:numFmt w:val="bullet"/>
      <w:lvlText w:val="o"/>
      <w:lvlJc w:val="left"/>
      <w:pPr>
        <w:ind w:left="1480" w:hanging="360"/>
      </w:pPr>
      <w:rPr>
        <w:rFonts w:ascii="Courier New" w:hAnsi="Courier New" w:cs="Courier New" w:hint="default"/>
      </w:rPr>
    </w:lvl>
    <w:lvl w:ilvl="2" w:tplc="08090005" w:tentative="1">
      <w:start w:val="1"/>
      <w:numFmt w:val="bullet"/>
      <w:lvlText w:val=""/>
      <w:lvlJc w:val="left"/>
      <w:pPr>
        <w:ind w:left="2200" w:hanging="360"/>
      </w:pPr>
      <w:rPr>
        <w:rFonts w:ascii="Wingdings" w:hAnsi="Wingdings" w:hint="default"/>
      </w:rPr>
    </w:lvl>
    <w:lvl w:ilvl="3" w:tplc="08090001" w:tentative="1">
      <w:start w:val="1"/>
      <w:numFmt w:val="bullet"/>
      <w:lvlText w:val=""/>
      <w:lvlJc w:val="left"/>
      <w:pPr>
        <w:ind w:left="2920" w:hanging="360"/>
      </w:pPr>
      <w:rPr>
        <w:rFonts w:ascii="Symbol" w:hAnsi="Symbol" w:hint="default"/>
      </w:rPr>
    </w:lvl>
    <w:lvl w:ilvl="4" w:tplc="08090003" w:tentative="1">
      <w:start w:val="1"/>
      <w:numFmt w:val="bullet"/>
      <w:lvlText w:val="o"/>
      <w:lvlJc w:val="left"/>
      <w:pPr>
        <w:ind w:left="3640" w:hanging="360"/>
      </w:pPr>
      <w:rPr>
        <w:rFonts w:ascii="Courier New" w:hAnsi="Courier New" w:cs="Courier New" w:hint="default"/>
      </w:rPr>
    </w:lvl>
    <w:lvl w:ilvl="5" w:tplc="08090005" w:tentative="1">
      <w:start w:val="1"/>
      <w:numFmt w:val="bullet"/>
      <w:lvlText w:val=""/>
      <w:lvlJc w:val="left"/>
      <w:pPr>
        <w:ind w:left="4360" w:hanging="360"/>
      </w:pPr>
      <w:rPr>
        <w:rFonts w:ascii="Wingdings" w:hAnsi="Wingdings" w:hint="default"/>
      </w:rPr>
    </w:lvl>
    <w:lvl w:ilvl="6" w:tplc="08090001" w:tentative="1">
      <w:start w:val="1"/>
      <w:numFmt w:val="bullet"/>
      <w:lvlText w:val=""/>
      <w:lvlJc w:val="left"/>
      <w:pPr>
        <w:ind w:left="5080" w:hanging="360"/>
      </w:pPr>
      <w:rPr>
        <w:rFonts w:ascii="Symbol" w:hAnsi="Symbol" w:hint="default"/>
      </w:rPr>
    </w:lvl>
    <w:lvl w:ilvl="7" w:tplc="08090003" w:tentative="1">
      <w:start w:val="1"/>
      <w:numFmt w:val="bullet"/>
      <w:lvlText w:val="o"/>
      <w:lvlJc w:val="left"/>
      <w:pPr>
        <w:ind w:left="5800" w:hanging="360"/>
      </w:pPr>
      <w:rPr>
        <w:rFonts w:ascii="Courier New" w:hAnsi="Courier New" w:cs="Courier New" w:hint="default"/>
      </w:rPr>
    </w:lvl>
    <w:lvl w:ilvl="8" w:tplc="08090005" w:tentative="1">
      <w:start w:val="1"/>
      <w:numFmt w:val="bullet"/>
      <w:lvlText w:val=""/>
      <w:lvlJc w:val="left"/>
      <w:pPr>
        <w:ind w:left="6520" w:hanging="360"/>
      </w:pPr>
      <w:rPr>
        <w:rFonts w:ascii="Wingdings" w:hAnsi="Wingdings" w:hint="default"/>
      </w:rPr>
    </w:lvl>
  </w:abstractNum>
  <w:abstractNum w:abstractNumId="3" w15:restartNumberingAfterBreak="0">
    <w:nsid w:val="33BE3B79"/>
    <w:multiLevelType w:val="hybridMultilevel"/>
    <w:tmpl w:val="AD3E96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3025643"/>
    <w:multiLevelType w:val="hybridMultilevel"/>
    <w:tmpl w:val="29FAC7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4D84EDD"/>
    <w:multiLevelType w:val="hybridMultilevel"/>
    <w:tmpl w:val="7D3CD78C"/>
    <w:lvl w:ilvl="0" w:tplc="B33A571C">
      <w:start w:val="1"/>
      <w:numFmt w:val="bullet"/>
      <w:lvlText w:val="●"/>
      <w:lvlJc w:val="left"/>
      <w:pPr>
        <w:ind w:left="720" w:hanging="360"/>
      </w:pPr>
    </w:lvl>
    <w:lvl w:ilvl="1" w:tplc="66BA4E5C">
      <w:start w:val="1"/>
      <w:numFmt w:val="bullet"/>
      <w:lvlText w:val="○"/>
      <w:lvlJc w:val="left"/>
      <w:pPr>
        <w:ind w:left="1440" w:hanging="360"/>
      </w:pPr>
    </w:lvl>
    <w:lvl w:ilvl="2" w:tplc="AA74C2DE">
      <w:start w:val="1"/>
      <w:numFmt w:val="bullet"/>
      <w:lvlText w:val="■"/>
      <w:lvlJc w:val="left"/>
      <w:pPr>
        <w:ind w:left="2160" w:hanging="360"/>
      </w:pPr>
    </w:lvl>
    <w:lvl w:ilvl="3" w:tplc="484E3142">
      <w:start w:val="1"/>
      <w:numFmt w:val="bullet"/>
      <w:lvlText w:val="●"/>
      <w:lvlJc w:val="left"/>
      <w:pPr>
        <w:ind w:left="2880" w:hanging="360"/>
      </w:pPr>
    </w:lvl>
    <w:lvl w:ilvl="4" w:tplc="41F4A1AE">
      <w:start w:val="1"/>
      <w:numFmt w:val="bullet"/>
      <w:lvlText w:val="○"/>
      <w:lvlJc w:val="left"/>
      <w:pPr>
        <w:ind w:left="3600" w:hanging="360"/>
      </w:pPr>
    </w:lvl>
    <w:lvl w:ilvl="5" w:tplc="182A7914">
      <w:start w:val="1"/>
      <w:numFmt w:val="bullet"/>
      <w:lvlText w:val="■"/>
      <w:lvlJc w:val="left"/>
      <w:pPr>
        <w:ind w:left="4320" w:hanging="360"/>
      </w:pPr>
    </w:lvl>
    <w:lvl w:ilvl="6" w:tplc="8E361582">
      <w:start w:val="1"/>
      <w:numFmt w:val="bullet"/>
      <w:lvlText w:val="●"/>
      <w:lvlJc w:val="left"/>
      <w:pPr>
        <w:ind w:left="5040" w:hanging="360"/>
      </w:pPr>
    </w:lvl>
    <w:lvl w:ilvl="7" w:tplc="70D4172C">
      <w:start w:val="1"/>
      <w:numFmt w:val="bullet"/>
      <w:lvlText w:val="●"/>
      <w:lvlJc w:val="left"/>
      <w:pPr>
        <w:ind w:left="5760" w:hanging="360"/>
      </w:pPr>
    </w:lvl>
    <w:lvl w:ilvl="8" w:tplc="6442BDE6">
      <w:start w:val="1"/>
      <w:numFmt w:val="bullet"/>
      <w:lvlText w:val="●"/>
      <w:lvlJc w:val="left"/>
      <w:pPr>
        <w:ind w:left="6480" w:hanging="360"/>
      </w:pPr>
    </w:lvl>
  </w:abstractNum>
  <w:num w:numId="1" w16cid:durableId="1008485585">
    <w:abstractNumId w:val="5"/>
    <w:lvlOverride w:ilvl="0">
      <w:startOverride w:val="1"/>
    </w:lvlOverride>
  </w:num>
  <w:num w:numId="2" w16cid:durableId="762577891">
    <w:abstractNumId w:val="1"/>
    <w:lvlOverride w:ilvl="0">
      <w:startOverride w:val="1"/>
    </w:lvlOverride>
  </w:num>
  <w:num w:numId="3" w16cid:durableId="1330716875">
    <w:abstractNumId w:val="4"/>
  </w:num>
  <w:num w:numId="4" w16cid:durableId="651568518">
    <w:abstractNumId w:val="3"/>
  </w:num>
  <w:num w:numId="5" w16cid:durableId="1357582323">
    <w:abstractNumId w:val="0"/>
  </w:num>
  <w:num w:numId="6" w16cid:durableId="153305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34FB"/>
    <w:rsid w:val="0000340D"/>
    <w:rsid w:val="000259CF"/>
    <w:rsid w:val="000279E6"/>
    <w:rsid w:val="0009381C"/>
    <w:rsid w:val="000E7652"/>
    <w:rsid w:val="001105D7"/>
    <w:rsid w:val="001132D3"/>
    <w:rsid w:val="00120356"/>
    <w:rsid w:val="00134A4B"/>
    <w:rsid w:val="001F2D34"/>
    <w:rsid w:val="00256F47"/>
    <w:rsid w:val="00267F40"/>
    <w:rsid w:val="00271378"/>
    <w:rsid w:val="00300542"/>
    <w:rsid w:val="0034535A"/>
    <w:rsid w:val="00472C6C"/>
    <w:rsid w:val="004A3667"/>
    <w:rsid w:val="004B733C"/>
    <w:rsid w:val="005107E7"/>
    <w:rsid w:val="005B0550"/>
    <w:rsid w:val="005F1229"/>
    <w:rsid w:val="006578D6"/>
    <w:rsid w:val="0069231A"/>
    <w:rsid w:val="006C3AD1"/>
    <w:rsid w:val="006D0567"/>
    <w:rsid w:val="00771EED"/>
    <w:rsid w:val="0077722F"/>
    <w:rsid w:val="00786B6D"/>
    <w:rsid w:val="0083657B"/>
    <w:rsid w:val="008634FB"/>
    <w:rsid w:val="008B736C"/>
    <w:rsid w:val="008E6641"/>
    <w:rsid w:val="00944676"/>
    <w:rsid w:val="00971D8C"/>
    <w:rsid w:val="00997AA5"/>
    <w:rsid w:val="00A45E68"/>
    <w:rsid w:val="00A811E3"/>
    <w:rsid w:val="00A906EA"/>
    <w:rsid w:val="00AC4EA7"/>
    <w:rsid w:val="00B13871"/>
    <w:rsid w:val="00B3381D"/>
    <w:rsid w:val="00B41A1D"/>
    <w:rsid w:val="00C46120"/>
    <w:rsid w:val="00C618F9"/>
    <w:rsid w:val="00C74124"/>
    <w:rsid w:val="00CE065B"/>
    <w:rsid w:val="00CE0E6B"/>
    <w:rsid w:val="00D44C5E"/>
    <w:rsid w:val="00D60667"/>
    <w:rsid w:val="00D63589"/>
    <w:rsid w:val="00D8075F"/>
    <w:rsid w:val="00DA6E73"/>
    <w:rsid w:val="00E66359"/>
    <w:rsid w:val="00E70FC1"/>
    <w:rsid w:val="00E962C9"/>
    <w:rsid w:val="00EA4F37"/>
    <w:rsid w:val="00F301AA"/>
    <w:rsid w:val="00F83EEC"/>
    <w:rsid w:val="00FB4566"/>
    <w:rsid w:val="00FD0F7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182536"/>
  <w15:docId w15:val="{C972A0D1-58F0-2041-95EA-64EE851576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F4E79"/>
      <w:sz w:val="36"/>
      <w:szCs w:val="36"/>
    </w:rPr>
  </w:style>
  <w:style w:type="paragraph" w:styleId="Heading2">
    <w:name w:val="heading 2"/>
    <w:uiPriority w:val="9"/>
    <w:unhideWhenUsed/>
    <w:qFormat/>
    <w:pPr>
      <w:spacing w:before="300" w:after="120"/>
      <w:outlineLvl w:val="1"/>
    </w:pPr>
    <w:rPr>
      <w:b/>
      <w:bCs/>
      <w:color w:val="2E75B6"/>
      <w:sz w:val="28"/>
      <w:szCs w:val="28"/>
    </w:rPr>
  </w:style>
  <w:style w:type="paragraph" w:styleId="Heading3">
    <w:name w:val="heading 3"/>
    <w:uiPriority w:val="9"/>
    <w:semiHidden/>
    <w:unhideWhenUsed/>
    <w:qFormat/>
    <w:pPr>
      <w:spacing w:before="200" w:after="100"/>
      <w:outlineLvl w:val="2"/>
    </w:pPr>
    <w:rPr>
      <w:b/>
      <w:b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786B6D"/>
    <w:pPr>
      <w:tabs>
        <w:tab w:val="center" w:pos="4513"/>
        <w:tab w:val="right" w:pos="9026"/>
      </w:tabs>
    </w:pPr>
  </w:style>
  <w:style w:type="character" w:customStyle="1" w:styleId="HeaderChar">
    <w:name w:val="Header Char"/>
    <w:basedOn w:val="DefaultParagraphFont"/>
    <w:link w:val="Header"/>
    <w:uiPriority w:val="99"/>
    <w:rsid w:val="00786B6D"/>
  </w:style>
  <w:style w:type="paragraph" w:styleId="Footer">
    <w:name w:val="footer"/>
    <w:basedOn w:val="Normal"/>
    <w:link w:val="FooterChar"/>
    <w:uiPriority w:val="99"/>
    <w:unhideWhenUsed/>
    <w:rsid w:val="00786B6D"/>
    <w:pPr>
      <w:tabs>
        <w:tab w:val="center" w:pos="4513"/>
        <w:tab w:val="right" w:pos="9026"/>
      </w:tabs>
    </w:pPr>
  </w:style>
  <w:style w:type="character" w:customStyle="1" w:styleId="FooterChar">
    <w:name w:val="Footer Char"/>
    <w:basedOn w:val="DefaultParagraphFont"/>
    <w:link w:val="Footer"/>
    <w:uiPriority w:val="99"/>
    <w:rsid w:val="00786B6D"/>
  </w:style>
  <w:style w:type="character" w:styleId="PageNumber">
    <w:name w:val="page number"/>
    <w:basedOn w:val="DefaultParagraphFont"/>
    <w:uiPriority w:val="99"/>
    <w:semiHidden/>
    <w:unhideWhenUsed/>
    <w:rsid w:val="00786B6D"/>
  </w:style>
  <w:style w:type="table" w:styleId="GridTable4-Accent1">
    <w:name w:val="Grid Table 4 Accent 1"/>
    <w:basedOn w:val="TableNormal"/>
    <w:uiPriority w:val="49"/>
    <w:rsid w:val="00D60667"/>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318</TotalTime>
  <Pages>10</Pages>
  <Words>5574</Words>
  <Characters>33724</Characters>
  <Application>Microsoft Office Word</Application>
  <DocSecurity>0</DocSecurity>
  <Lines>543</Lines>
  <Paragraphs>227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Diogo Fernandes (BSc Computer Sci w Ind Year FT)</cp:lastModifiedBy>
  <cp:revision>26</cp:revision>
  <dcterms:created xsi:type="dcterms:W3CDTF">2026-03-09T01:49:00Z</dcterms:created>
  <dcterms:modified xsi:type="dcterms:W3CDTF">2026-03-22T16:38:00Z</dcterms:modified>
</cp:coreProperties>
</file>