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06060"/>
          <w:sz w:val="16"/>
        </w:rPr>
        <w:t>DOC-RIE-001 · versión 2.0 · CONFIDENCIAL · vigente</w:t>
      </w:r>
    </w:p>
    <w:p>
      <w:pPr>
        <w:pStyle w:val="Heading1"/>
      </w:pPr>
      <w:r>
        <w:t>Política de riesgo crediticio</w:t>
      </w:r>
    </w:p>
    <w:p>
      <w:pPr>
        <w:pStyle w:val="Heading2"/>
      </w:pPr>
      <w:r>
        <w:t>1. Objetivo</w:t>
      </w:r>
    </w:p>
    <w:p>
      <w:r>
        <w:rPr>
          <w:b w:val="0"/>
        </w:rPr>
        <w:t>Establecer los principios que rigen la asunción, medición, seguimiento y mitigación del riesgo de crédito del banco, entendido como la posibilidad de que un deudor no cumpla con sus obligaciones en los términos pactados.</w:t>
      </w:r>
    </w:p>
    <w:p>
      <w:pPr>
        <w:pStyle w:val="Heading2"/>
      </w:pPr>
      <w:r>
        <w:t>2. Alcance</w:t>
      </w:r>
    </w:p>
    <w:p>
      <w:r>
        <w:rPr>
          <w:b w:val="0"/>
        </w:rPr>
        <w:t>Alcanza a la totalidad de la cartera activa: préstamos personales, prendarios e hipotecarios, tarjetas de crédito, adelantos en cuenta corriente, descuento de documentos y financiaciones a empresas. Incluye las operaciones originadas por canales digitales.</w:t>
      </w:r>
    </w:p>
    <w:p>
      <w:pPr>
        <w:pStyle w:val="Heading2"/>
      </w:pPr>
      <w:r>
        <w:t>3. Apetito de riesgo</w:t>
      </w:r>
    </w:p>
    <w:p>
      <w:r>
        <w:rPr>
          <w:b w:val="0"/>
        </w:rPr>
        <w:t>El Directorio fija anualmente el apetito de riesgo de la entidad y lo expresa en tres límites que el área de Riesgos monitorea mensualmente:</w:t>
      </w:r>
    </w:p>
    <w:p>
      <w:pPr>
        <w:pStyle w:val="ListBullet"/>
      </w:pPr>
      <w:r>
        <w:rPr>
          <w:b w:val="0"/>
        </w:rPr>
        <w:t>Participación máxima de la cartera irregular sobre el total de financiaciones.</w:t>
      </w:r>
    </w:p>
    <w:p>
      <w:pPr>
        <w:pStyle w:val="ListBullet"/>
      </w:pPr>
      <w:r>
        <w:rPr>
          <w:b w:val="0"/>
        </w:rPr>
        <w:t>Concentración máxima por deudor individual y por grupo económico.</w:t>
      </w:r>
    </w:p>
    <w:p>
      <w:pPr>
        <w:pStyle w:val="ListBullet"/>
      </w:pPr>
      <w:r>
        <w:rPr>
          <w:b w:val="0"/>
        </w:rPr>
        <w:t>Concentración máxima por sector de actividad económica.</w:t>
      </w:r>
    </w:p>
    <w:p>
      <w:r>
        <w:rPr>
          <w:b w:val="0"/>
        </w:rPr>
        <w:t>Superado cualquiera de los tres límites, el Comité de Riesgos debe ser convocado dentro de los cinco días hábiles y decidir si se corrige la exposición o si se eleva el límite al Directorio con fundamento.</w:t>
      </w:r>
    </w:p>
    <w:p>
      <w:pPr>
        <w:pStyle w:val="Heading2"/>
      </w:pPr>
      <w:r>
        <w:t>4. Segmentación de deudores</w:t>
      </w:r>
    </w:p>
    <w:p>
      <w:r>
        <w:rPr>
          <w:b w:val="0"/>
        </w:rPr>
        <w:t>La cartera se segmenta en personas humanas y personas jurídicas, y dentro de cada segmento por nivel de exposición. La evaluación de una solicitud sigue el procedimiento operativo correspondiente al segmento (DOC-RIE-002 para personas humanas), y el resultado del modelo de scoring descripto en DOC-RIE-003 es un insumo de la decisión, nunca la decisión misma: toda operación por encima del umbral de exposición definido por el Comité requiere análisis individual documentado.</w:t>
      </w:r>
    </w:p>
    <w:p>
      <w:pPr>
        <w:pStyle w:val="Heading2"/>
      </w:pPr>
      <w:r>
        <w:t>5. Clasificación y previsionamiento</w:t>
      </w:r>
    </w:p>
    <w:p>
      <w:r>
        <w:rPr>
          <w:b w:val="0"/>
        </w:rPr>
        <w:t>La clasificación del deudor sigue las categorías definidas por la normativa del Banco Central y determina el nivel de previsión que corresponde constituir. El detalle del cálculo, los porcentajes por categoría y el tratamiento de las garantías se desarrollan en la política de previsionamiento (DOC-RIE-005), que complementa a esta.</w:t>
      </w:r>
    </w:p>
    <w:p>
      <w:pPr>
        <w:pStyle w:val="Heading2"/>
      </w:pPr>
      <w:r>
        <w:t>6. Revisión</w:t>
      </w:r>
    </w:p>
    <w:p>
      <w:r>
        <w:rPr>
          <w:b w:val="0"/>
        </w:rPr>
        <w:t>Esta política se revisa como mínimo una vez al año, y de forma extraordinaria ante cambios normativos relevantes o ante un deterioro sostenido de los indicadores de cartera. La versión anterior de esta política rigió hasta el 31/03/2025.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riesgo crediticio</dc:title>
  <dc:subject>Clasificacion: confidencial</dc:subject>
  <dc:creator>Banco Ejemplo S.A. — Riesgos</dc:creator>
  <cp:keywords>riesgo_crediticio, politica, gobierno_de_datos, mora</cp:keywords>
  <dc:description>DOC-RIE-001 version 2.0 — estado vigente</dc:description>
  <cp:lastModifiedBy>Banco Ejemplo S.A. — Riesgos</cp:lastModifiedBy>
  <cp:revision>1</cp:revision>
  <dcterms:created xsi:type="dcterms:W3CDTF">2013-12-23T23:15:00Z</dcterms:created>
  <dcterms:modified xsi:type="dcterms:W3CDTF">2013-12-23T23:15:00Z</dcterms:modified>
  <cp:category>politica_interna</cp:category>
  <cp:version>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">
    <vt:lpwstr>DOC-RIE-001</vt:lpwstr>
  </property>
  <property fmtid="{D5CDD505-2E9C-101B-9397-08002B2CF9AE}" pid="3" name="Tipo">
    <vt:lpwstr>politica_interna</vt:lpwstr>
  </property>
  <property fmtid="{D5CDD505-2E9C-101B-9397-08002B2CF9AE}" pid="4" name="Area">
    <vt:lpwstr>Riesgos</vt:lpwstr>
  </property>
  <property fmtid="{D5CDD505-2E9C-101B-9397-08002B2CF9AE}" pid="5" name="Confidencialidad">
    <vt:lpwstr>confidencial</vt:lpwstr>
  </property>
  <property fmtid="{D5CDD505-2E9C-101B-9397-08002B2CF9AE}" pid="6" name="Version">
    <vt:lpwstr>2.0</vt:lpwstr>
  </property>
  <property fmtid="{D5CDD505-2E9C-101B-9397-08002B2CF9AE}" pid="7" name="VigenteDesde">
    <vt:lpwstr>2025-04-01</vt:lpwstr>
  </property>
  <property fmtid="{D5CDD505-2E9C-101B-9397-08002B2CF9AE}" pid="8" name="VigenteHasta">
    <vt:lpwstr/>
  </property>
  <property fmtid="{D5CDD505-2E9C-101B-9397-08002B2CF9AE}" pid="9" name="Estado">
    <vt:lpwstr>vigente</vt:lpwstr>
  </property>
  <property fmtid="{D5CDD505-2E9C-101B-9397-08002B2CF9AE}" pid="10" name="Etiquetas">
    <vt:lpwstr>riesgo_crediticio, politica, gobierno_de_datos, mora</vt:lpwstr>
  </property>
  <property fmtid="{D5CDD505-2E9C-101B-9397-08002B2CF9AE}" pid="11" name="Relaciones">
    <vt:lpwstr>complementa DOC-RIE-005</vt:lpwstr>
  </property>
</Properties>
</file>