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5" Type="http://schemas.openxmlformats.org/officeDocument/2006/relationships/custom-properties" Target="docProps/custom.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color w:val="606060"/>
          <w:sz w:val="16"/>
        </w:rPr>
        <w:t>DOC-CMP-003 · versión 2.0 · CONFIDENCIAL · vigente</w:t>
      </w:r>
    </w:p>
    <w:p>
      <w:pPr>
        <w:pStyle w:val="Heading1"/>
      </w:pPr>
      <w:r>
        <w:t>Procedimiento de debida diligencia reforzada para personas expuestas políticamente</w:t>
      </w:r>
    </w:p>
    <w:p>
      <w:pPr>
        <w:pStyle w:val="Heading2"/>
      </w:pPr>
      <w:r>
        <w:t>1. Objetivo y alcance</w:t>
      </w:r>
    </w:p>
    <w:p>
      <w:r>
        <w:rPr>
          <w:b w:val="0"/>
        </w:rPr>
        <w:t>Describe los pasos adicionales que se aplican cuando un cliente, su beneficiario final o alguien de su entorno cercano reviste la condición de persona expuesta políticamente. Aplica tanto al alta como a la detección sobreviniente de esa condición en un cliente ya vinculado.</w:t>
      </w:r>
    </w:p>
    <w:p>
      <w:pPr>
        <w:pStyle w:val="Heading2"/>
      </w:pPr>
      <w:r>
        <w:t>2. Detección</w:t>
      </w:r>
    </w:p>
    <w:p>
      <w:r>
        <w:rPr>
          <w:b w:val="0"/>
        </w:rPr>
        <w:t>La condición se detecta por tres vías: la declaración del propio cliente al momento del alta, el cotejo automático contra las nóminas oficiales y las listas de terceros proveedores contratados por el banco, y el aviso de un empleado que tenga conocimiento fundado de la situación. Las tres vías tienen el mismo peso: una declaración negativa del cliente no invalida un cotejo positivo.</w:t>
      </w:r>
    </w:p>
    <w:p>
      <w:pPr>
        <w:pStyle w:val="Heading2"/>
      </w:pPr>
      <w:r>
        <w:t>3. Alcance de la condición</w:t>
      </w:r>
    </w:p>
    <w:p>
      <w:r>
        <w:rPr>
          <w:b w:val="0"/>
        </w:rPr>
        <w:t>La condición alcanza a la persona expuesta, a su cónyuge o conviviente, a sus ascendientes y descendientes en primer grado, y a las personas jurídicas en las que ejerza control. La vigencia de la condición se extiende por el plazo previsto en la normativa desde el cese de la función pública, y no cesa automáticamente con el fin del mandato.</w:t>
      </w:r>
    </w:p>
    <w:p>
      <w:pPr>
        <w:pStyle w:val="Heading2"/>
      </w:pPr>
      <w:r>
        <w:t>4. Aprobación de la relación</w:t>
      </w:r>
    </w:p>
    <w:p>
      <w:r>
        <w:rPr>
          <w:b w:val="0"/>
        </w:rPr>
        <w:t>El alta o la continuidad de la relación con una persona expuesta políticamente requiere aprobación expresa de un funcionario de nivel gerencial. La aprobación se registra con nombre, fecha y fundamento. Un analista no puede aprobar por sí solo, ni siquiera cuando el resto del legajo esté completo y sin observaciones.</w:t>
      </w:r>
    </w:p>
    <w:p>
      <w:pPr>
        <w:pStyle w:val="Heading2"/>
      </w:pPr>
      <w:r>
        <w:t>5. Origen de los fondos</w:t>
      </w:r>
    </w:p>
    <w:p>
      <w:r>
        <w:rPr>
          <w:b w:val="0"/>
        </w:rPr>
        <w:t>Se requiere documentación que acredite el origen y la licitud de los fondos y del patrimonio, no solamente la declaración jurada del cliente. La documentación aceptable incluye declaraciones juradas impositivas, escrituras, contratos de compraventa y certificaciones contables. La ausencia de respaldo documental impide dar de alta la relación.</w:t>
      </w:r>
    </w:p>
    <w:p>
      <w:pPr>
        <w:pStyle w:val="Heading2"/>
      </w:pPr>
      <w:r>
        <w:t>6. Monitoreo</w:t>
      </w:r>
    </w:p>
    <w:p>
      <w:r>
        <w:rPr>
          <w:b w:val="0"/>
        </w:rPr>
        <w:t>El perfil transaccional se revisa con periodicidad anual, y las alertas generadas sobre estos clientes se tratan con prioridad. El área de Compliance emite un informe semestral al Comité de Cumplimiento con la evolución de la cartera de personas expuestas políticamente.</w:t>
      </w:r>
    </w:p>
    <w:p>
      <w:pPr>
        <w:pStyle w:val="Heading2"/>
      </w:pPr>
      <w:r>
        <w:t>7. Reserva</w:t>
      </w:r>
    </w:p>
    <w:p>
      <w:r>
        <w:rPr>
          <w:b w:val="0"/>
        </w:rPr>
        <w:t>La condición de persona expuesta políticamente y las medidas adoptadas sobre el legajo son información confidencial del banco. No se informa al cliente que se le aplica debida diligencia reforzada más allá del requerimiento de documentación que corresponda.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Procedimiento de debida diligencia reforzada para personas expuestas políticamente</dc:title>
  <dc:subject>Clasificacion: confidencial</dc:subject>
  <dc:creator>Banco Ejemplo S.A. — Compliance</dc:creator>
  <cp:keywords>prevencion_lavado, pep, debida_diligencia, procedimiento, compliance</cp:keywords>
  <dc:description>DOC-CMP-003 version 2.0 — estado vigente</dc:description>
  <cp:lastModifiedBy>Banco Ejemplo S.A. — Compliance</cp:lastModifiedBy>
  <cp:revision>1</cp:revision>
  <dcterms:created xsi:type="dcterms:W3CDTF">2013-12-23T23:15:00Z</dcterms:created>
  <dcterms:modified xsi:type="dcterms:W3CDTF">2013-12-23T23:15:00Z</dcterms:modified>
  <cp:category>procedimiento</cp:category>
  <cp:version>2.0</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digo">
    <vt:lpwstr>DOC-CMP-003</vt:lpwstr>
  </property>
  <property fmtid="{D5CDD505-2E9C-101B-9397-08002B2CF9AE}" pid="3" name="Tipo">
    <vt:lpwstr>procedimiento</vt:lpwstr>
  </property>
  <property fmtid="{D5CDD505-2E9C-101B-9397-08002B2CF9AE}" pid="4" name="Area">
    <vt:lpwstr>Compliance</vt:lpwstr>
  </property>
  <property fmtid="{D5CDD505-2E9C-101B-9397-08002B2CF9AE}" pid="5" name="Confidencialidad">
    <vt:lpwstr>confidencial</vt:lpwstr>
  </property>
  <property fmtid="{D5CDD505-2E9C-101B-9397-08002B2CF9AE}" pid="6" name="Version">
    <vt:lpwstr>2.0</vt:lpwstr>
  </property>
  <property fmtid="{D5CDD505-2E9C-101B-9397-08002B2CF9AE}" pid="7" name="VigenteDesde">
    <vt:lpwstr>2024-06-01</vt:lpwstr>
  </property>
  <property fmtid="{D5CDD505-2E9C-101B-9397-08002B2CF9AE}" pid="8" name="VigenteHasta">
    <vt:lpwstr/>
  </property>
  <property fmtid="{D5CDD505-2E9C-101B-9397-08002B2CF9AE}" pid="9" name="Estado">
    <vt:lpwstr>vigente</vt:lpwstr>
  </property>
  <property fmtid="{D5CDD505-2E9C-101B-9397-08002B2CF9AE}" pid="10" name="Etiquetas">
    <vt:lpwstr>prevencion_lavado, pep, debida_diligencia, procedimiento, compliance</vt:lpwstr>
  </property>
  <property fmtid="{D5CDD505-2E9C-101B-9397-08002B2CF9AE}" pid="11" name="Relaciones">
    <vt:lpwstr>referencia DOC-CMP-001</vt:lpwstr>
  </property>
</Properties>
</file>