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06060"/>
          <w:sz w:val="16"/>
        </w:rPr>
        <w:t>DOC-CMP-005 · versión 1.0 · INTERNO · vigente</w:t>
      </w:r>
    </w:p>
    <w:p>
      <w:pPr>
        <w:pStyle w:val="Heading1"/>
      </w:pPr>
      <w:r>
        <w:t>Procedimiento de conocimiento del cliente</w:t>
      </w:r>
    </w:p>
    <w:p>
      <w:pPr>
        <w:pStyle w:val="Heading2"/>
      </w:pPr>
      <w:r>
        <w:t>1. Objetivo y alcance</w:t>
      </w:r>
    </w:p>
    <w:p>
      <w:r>
        <w:rPr>
          <w:b w:val="0"/>
        </w:rPr>
        <w:t>Describe los pasos para identificar y conocer al cliente al momento de iniciar la relación comercial. Aplica al alta de personas humanas y jurídicas en todos los canales.</w:t>
      </w:r>
    </w:p>
    <w:p>
      <w:pPr>
        <w:pStyle w:val="Heading2"/>
      </w:pPr>
      <w:r>
        <w:t>2. Documentación requerida — personas humanas</w:t>
      </w:r>
    </w:p>
    <w:p>
      <w:pPr>
        <w:pStyle w:val="ListBullet"/>
      </w:pPr>
      <w:r>
        <w:rPr>
          <w:b w:val="0"/>
        </w:rPr>
        <w:t>Documento nacional de identidad vigente, en original.</w:t>
      </w:r>
    </w:p>
    <w:p>
      <w:pPr>
        <w:pStyle w:val="ListBullet"/>
      </w:pPr>
      <w:r>
        <w:rPr>
          <w:b w:val="0"/>
        </w:rPr>
        <w:t>Constancia de CUIL o CUIT.</w:t>
      </w:r>
    </w:p>
    <w:p>
      <w:pPr>
        <w:pStyle w:val="ListBullet"/>
      </w:pPr>
      <w:r>
        <w:rPr>
          <w:b w:val="0"/>
        </w:rPr>
        <w:t>Constancia de domicilio con antigüedad no mayor a tres meses.</w:t>
      </w:r>
    </w:p>
    <w:p>
      <w:pPr>
        <w:pStyle w:val="ListBullet"/>
      </w:pPr>
      <w:r>
        <w:rPr>
          <w:b w:val="0"/>
        </w:rPr>
        <w:t>Declaración jurada de licitud y origen de los fondos.</w:t>
      </w:r>
    </w:p>
    <w:p>
      <w:pPr>
        <w:pStyle w:val="Heading2"/>
      </w:pPr>
      <w:r>
        <w:t>3. Documentación requerida — personas jurídicas</w:t>
      </w:r>
    </w:p>
    <w:p>
      <w:pPr>
        <w:pStyle w:val="ListBullet"/>
      </w:pPr>
      <w:r>
        <w:rPr>
          <w:b w:val="0"/>
        </w:rPr>
        <w:t>Estatuto o contrato social con sus modificaciones, inscripto.</w:t>
      </w:r>
    </w:p>
    <w:p>
      <w:pPr>
        <w:pStyle w:val="ListBullet"/>
      </w:pPr>
      <w:r>
        <w:rPr>
          <w:b w:val="0"/>
        </w:rPr>
        <w:t>Constancia de CUIT.</w:t>
      </w:r>
    </w:p>
    <w:p>
      <w:pPr>
        <w:pStyle w:val="ListBullet"/>
      </w:pPr>
      <w:r>
        <w:rPr>
          <w:b w:val="0"/>
        </w:rPr>
        <w:t>Acta de designación de autoridades vigente.</w:t>
      </w:r>
    </w:p>
    <w:p>
      <w:pPr>
        <w:pStyle w:val="ListBullet"/>
      </w:pPr>
      <w:r>
        <w:rPr>
          <w:b w:val="0"/>
        </w:rPr>
        <w:t>Documento de identidad de los firmantes autorizados.</w:t>
      </w:r>
    </w:p>
    <w:p>
      <w:pPr>
        <w:pStyle w:val="Heading2"/>
      </w:pPr>
      <w:r>
        <w:t>4. Validación</w:t>
      </w:r>
    </w:p>
    <w:p>
      <w:r>
        <w:rPr>
          <w:b w:val="0"/>
        </w:rPr>
        <w:t>El operador coteja los datos declarados contra los documentos presentados y verifica que los originales no presenten signos de adulteración. Ante cualquier duda sobre la autenticidad de un documento, la solicitud se deriva a la unidad de prevención de fraude antes de continuar.</w:t>
      </w:r>
    </w:p>
    <w:p>
      <w:pPr>
        <w:pStyle w:val="Heading2"/>
      </w:pPr>
      <w:r>
        <w:t>5. Perfil transaccional</w:t>
      </w:r>
    </w:p>
    <w:p>
      <w:r>
        <w:rPr>
          <w:b w:val="0"/>
        </w:rPr>
        <w:t>Se construye un perfil con los ingresos declarados, la actividad y el volumen de operaciones esperado. El perfil es el punto de referencia contra el que el monitoreo evalúa las operaciones posteriores.</w:t>
      </w:r>
    </w:p>
    <w:p>
      <w:pPr>
        <w:pStyle w:val="Heading2"/>
      </w:pPr>
      <w:r>
        <w:t>6. Revisión periódica</w:t>
      </w:r>
    </w:p>
    <w:p>
      <w:r>
        <w:rPr>
          <w:b w:val="0"/>
        </w:rPr>
        <w:t>El legajo se revisa cada tres años. La revisión consiste en confirmar que los datos siguen vigentes y actualizar el perfil transaccional si corresponde.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de conocimiento del cliente</dc:title>
  <dc:subject>Clasificacion: interno</dc:subject>
  <dc:creator>Banco Ejemplo S.A. — Compliance</dc:creator>
  <cp:keywords>kyc, debida_diligencia, procedimiento, compliance, onboarding</cp:keywords>
  <dc:description>DOC-CMP-005 version 1.0 — estado vigente</dc:description>
  <cp:lastModifiedBy>Banco Ejemplo S.A. — Compliance</cp:lastModifiedBy>
  <cp:revision>1</cp:revision>
  <dcterms:created xsi:type="dcterms:W3CDTF">2013-12-23T23:15:00Z</dcterms:created>
  <dcterms:modified xsi:type="dcterms:W3CDTF">2013-12-23T23:15:00Z</dcterms:modified>
  <cp:category>procedimiento</cp:category>
  <cp:version>1.0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igo">
    <vt:lpwstr>DOC-CMP-005</vt:lpwstr>
  </property>
  <property fmtid="{D5CDD505-2E9C-101B-9397-08002B2CF9AE}" pid="3" name="Tipo">
    <vt:lpwstr>procedimiento</vt:lpwstr>
  </property>
  <property fmtid="{D5CDD505-2E9C-101B-9397-08002B2CF9AE}" pid="4" name="Area">
    <vt:lpwstr>Compliance</vt:lpwstr>
  </property>
  <property fmtid="{D5CDD505-2E9C-101B-9397-08002B2CF9AE}" pid="5" name="Confidencialidad">
    <vt:lpwstr>interno</vt:lpwstr>
  </property>
  <property fmtid="{D5CDD505-2E9C-101B-9397-08002B2CF9AE}" pid="6" name="Version">
    <vt:lpwstr>1.0</vt:lpwstr>
  </property>
  <property fmtid="{D5CDD505-2E9C-101B-9397-08002B2CF9AE}" pid="7" name="VigenteDesde">
    <vt:lpwstr>2021-01-01</vt:lpwstr>
  </property>
  <property fmtid="{D5CDD505-2E9C-101B-9397-08002B2CF9AE}" pid="8" name="VigenteHasta">
    <vt:lpwstr>2023-06-30</vt:lpwstr>
  </property>
  <property fmtid="{D5CDD505-2E9C-101B-9397-08002B2CF9AE}" pid="9" name="Estado">
    <vt:lpwstr>vigente</vt:lpwstr>
  </property>
  <property fmtid="{D5CDD505-2E9C-101B-9397-08002B2CF9AE}" pid="10" name="Etiquetas">
    <vt:lpwstr>kyc, debida_diligencia, procedimiento, compliance, onboarding</vt:lpwstr>
  </property>
  <property fmtid="{D5CDD505-2E9C-101B-9397-08002B2CF9AE}" pid="11" name="Relaciones">
    <vt:lpwstr/>
  </property>
</Properties>
</file>