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060"/>
          <w:sz w:val="16"/>
        </w:rPr>
        <w:t>DOC-CMP-005 · versión 2.0 · INTERNO · vigente</w:t>
      </w:r>
    </w:p>
    <w:p>
      <w:pPr>
        <w:pStyle w:val="Heading1"/>
      </w:pPr>
      <w:r>
        <w:t>Procedimiento de conocimiento del cliente</w:t>
      </w:r>
    </w:p>
    <w:p>
      <w:pPr>
        <w:pStyle w:val="Heading2"/>
      </w:pPr>
      <w:r>
        <w:t>1. Objetivo y alcance</w:t>
      </w:r>
    </w:p>
    <w:p>
      <w:r>
        <w:rPr>
          <w:b w:val="0"/>
        </w:rPr>
        <w:t>Describe los pasos para identificar y conocer al cliente al momento de iniciar la relación comercial y durante toda su vigencia. Aplica al alta de personas humanas y jurídicas en todos los canales, presenciales y digitales.</w:t>
      </w:r>
    </w:p>
    <w:p>
      <w:pPr>
        <w:pStyle w:val="Heading2"/>
      </w:pPr>
      <w:r>
        <w:t>2. Documentación requerida — personas humanas</w:t>
      </w:r>
    </w:p>
    <w:p>
      <w:pPr>
        <w:pStyle w:val="ListBullet"/>
      </w:pPr>
      <w:r>
        <w:rPr>
          <w:b w:val="0"/>
        </w:rPr>
        <w:t>Documento nacional de identidad vigente. En canal digital se admite imagen capturada por la aplicación, con prueba de vida.</w:t>
      </w:r>
    </w:p>
    <w:p>
      <w:pPr>
        <w:pStyle w:val="ListBullet"/>
      </w:pPr>
      <w:r>
        <w:rPr>
          <w:b w:val="0"/>
        </w:rPr>
        <w:t>Constancia de CUIL o CUIT.</w:t>
      </w:r>
    </w:p>
    <w:p>
      <w:pPr>
        <w:pStyle w:val="ListBullet"/>
      </w:pPr>
      <w:r>
        <w:rPr>
          <w:b w:val="0"/>
        </w:rPr>
        <w:t>Constancia de domicilio con antigüedad no mayor a tres meses.</w:t>
      </w:r>
    </w:p>
    <w:p>
      <w:pPr>
        <w:pStyle w:val="ListBullet"/>
      </w:pPr>
      <w:r>
        <w:rPr>
          <w:b w:val="0"/>
        </w:rPr>
        <w:t>Declaración jurada de licitud y origen de los fondos.</w:t>
      </w:r>
    </w:p>
    <w:p>
      <w:pPr>
        <w:pStyle w:val="ListBullet"/>
      </w:pPr>
      <w:r>
        <w:rPr>
          <w:b w:val="0"/>
        </w:rPr>
        <w:t>Declaración sobre la condición de persona expuesta políticamente.</w:t>
      </w:r>
    </w:p>
    <w:p>
      <w:pPr>
        <w:pStyle w:val="Heading2"/>
      </w:pPr>
      <w:r>
        <w:t>3. Documentación requerida — personas jurídicas</w:t>
      </w:r>
    </w:p>
    <w:p>
      <w:pPr>
        <w:pStyle w:val="ListBullet"/>
      </w:pPr>
      <w:r>
        <w:rPr>
          <w:b w:val="0"/>
        </w:rPr>
        <w:t>Estatuto o contrato social con sus modificaciones, inscripto.</w:t>
      </w:r>
    </w:p>
    <w:p>
      <w:pPr>
        <w:pStyle w:val="ListBullet"/>
      </w:pPr>
      <w:r>
        <w:rPr>
          <w:b w:val="0"/>
        </w:rPr>
        <w:t>Constancia de CUIT.</w:t>
      </w:r>
    </w:p>
    <w:p>
      <w:pPr>
        <w:pStyle w:val="ListBullet"/>
      </w:pPr>
      <w:r>
        <w:rPr>
          <w:b w:val="0"/>
        </w:rPr>
        <w:t>Acta de designación de autoridades vigente.</w:t>
      </w:r>
    </w:p>
    <w:p>
      <w:pPr>
        <w:pStyle w:val="ListBullet"/>
      </w:pPr>
      <w:r>
        <w:rPr>
          <w:b w:val="0"/>
        </w:rPr>
        <w:t>Documento de identidad de los firmantes autorizados.</w:t>
      </w:r>
    </w:p>
    <w:p>
      <w:pPr>
        <w:pStyle w:val="ListBullet"/>
      </w:pPr>
      <w:r>
        <w:rPr>
          <w:b/>
        </w:rPr>
        <w:t>Declaración e identificación del beneficiario final</w:t>
      </w:r>
      <w:r>
        <w:rPr>
          <w:b w:val="0"/>
        </w:rPr>
        <w:t>, con la cadena de control hasta la persona humana que ejerce el control efectivo.</w:t>
      </w:r>
    </w:p>
    <w:p>
      <w:pPr>
        <w:pStyle w:val="Heading2"/>
      </w:pPr>
      <w:r>
        <w:t>4. Beneficiario final</w:t>
      </w:r>
    </w:p>
    <w:p>
      <w:r>
        <w:rPr>
          <w:b w:val="0"/>
        </w:rPr>
        <w:t>Novedad de esta versión. No se da de alta ninguna persona jurídica sin identificar al beneficiario final. Cuando la estructura societaria involucra vehículos del exterior o fideicomisos, se requiere documentación que permita reconstruir la cadena de control completa. Una estructura que impida esa reconstrucción es motivo de rechazo, no de excepción.</w:t>
      </w:r>
    </w:p>
    <w:p>
      <w:pPr>
        <w:pStyle w:val="Heading2"/>
      </w:pPr>
      <w:r>
        <w:t>5. Validación</w:t>
      </w:r>
    </w:p>
    <w:p>
      <w:r>
        <w:rPr>
          <w:b w:val="0"/>
        </w:rPr>
        <w:t>El operador coteja los datos declarados contra los documentos presentados. En el canal digital la validación documental se realiza contra la base del sistema de identidad corporativo. Ante duda sobre la autenticidad, la solicitud se deriva a la unidad de prevención de fraude.</w:t>
      </w:r>
    </w:p>
    <w:p>
      <w:pPr>
        <w:pStyle w:val="Heading2"/>
      </w:pPr>
      <w:r>
        <w:t>6. Perfil transaccional</w:t>
      </w:r>
    </w:p>
    <w:p>
      <w:r>
        <w:rPr>
          <w:b w:val="0"/>
        </w:rPr>
        <w:t>Se construye un perfil con los ingresos declarados, la actividad y el volumen esperado de operaciones. El perfil se recalcula automáticamente cada seis meses con el comportamiento observado, sin perjuicio de la revisión formal del legajo.</w:t>
      </w:r>
    </w:p>
    <w:p>
      <w:pPr>
        <w:pStyle w:val="Heading2"/>
      </w:pPr>
      <w:r>
        <w:t>7. Revisión periódica</w:t>
      </w:r>
    </w:p>
    <w:p>
      <w:r>
        <w:rPr>
          <w:b w:val="0"/>
        </w:rPr>
        <w:t>El legajo se revisa cada tres años para clientes de riesgo bajo y medio, y anualmente para clientes de riesgo alto.</w:t>
      </w:r>
    </w:p>
    <w:p>
      <w:pPr>
        <w:pStyle w:val="Heading2"/>
      </w:pPr>
      <w:r>
        <w:t>8. Historial de cambios</w:t>
      </w:r>
    </w:p>
    <w:p>
      <w:r>
        <w:rPr>
          <w:b w:val="0"/>
        </w:rPr>
        <w:t>Respecto de la versión 1.0: se incorpora la identificación obligatoria del beneficiario final (sección 4), se admite el alta por canal digital con prueba de vida (sección 2), se agrega la declaración sobre condición de persona expuesta políticamente, y se diferencia la frecuencia de revisión del legajo según el riesgo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conocimiento del cliente</dc:title>
  <dc:subject>Clasificacion: interno</dc:subject>
  <dc:creator>Banco Ejemplo S.A. — Compliance</dc:creator>
  <cp:keywords>kyc, debida_diligencia, procedimiento, compliance, onboarding, beneficiario_final</cp:keywords>
  <dc:description>DOC-CMP-005 version 2.0 — estado vigente</dc:description>
  <cp:lastModifiedBy>Banco Ejemplo S.A. — Compliance</cp:lastModifiedBy>
  <cp:revision>1</cp:revision>
  <dcterms:created xsi:type="dcterms:W3CDTF">2013-12-23T23:15:00Z</dcterms:created>
  <dcterms:modified xsi:type="dcterms:W3CDTF">2013-12-23T23:15:00Z</dcterms:modified>
  <cp:category>procedimiento</cp:category>
  <cp:version>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go">
    <vt:lpwstr>DOC-CMP-005</vt:lpwstr>
  </property>
  <property fmtid="{D5CDD505-2E9C-101B-9397-08002B2CF9AE}" pid="3" name="Tipo">
    <vt:lpwstr>procedimiento</vt:lpwstr>
  </property>
  <property fmtid="{D5CDD505-2E9C-101B-9397-08002B2CF9AE}" pid="4" name="Area">
    <vt:lpwstr>Compliance</vt:lpwstr>
  </property>
  <property fmtid="{D5CDD505-2E9C-101B-9397-08002B2CF9AE}" pid="5" name="Confidencialidad">
    <vt:lpwstr>interno</vt:lpwstr>
  </property>
  <property fmtid="{D5CDD505-2E9C-101B-9397-08002B2CF9AE}" pid="6" name="Version">
    <vt:lpwstr>2.0</vt:lpwstr>
  </property>
  <property fmtid="{D5CDD505-2E9C-101B-9397-08002B2CF9AE}" pid="7" name="VigenteDesde">
    <vt:lpwstr>2023-07-01</vt:lpwstr>
  </property>
  <property fmtid="{D5CDD505-2E9C-101B-9397-08002B2CF9AE}" pid="8" name="VigenteHasta">
    <vt:lpwstr>2025-08-31</vt:lpwstr>
  </property>
  <property fmtid="{D5CDD505-2E9C-101B-9397-08002B2CF9AE}" pid="9" name="Estado">
    <vt:lpwstr>vigente</vt:lpwstr>
  </property>
  <property fmtid="{D5CDD505-2E9C-101B-9397-08002B2CF9AE}" pid="10" name="Etiquetas">
    <vt:lpwstr>kyc, debida_diligencia, procedimiento, compliance, onboarding, beneficiario_final</vt:lpwstr>
  </property>
  <property fmtid="{D5CDD505-2E9C-101B-9397-08002B2CF9AE}" pid="11" name="Relaciones">
    <vt:lpwstr/>
  </property>
</Properties>
</file>