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06060"/>
          <w:sz w:val="16"/>
        </w:rPr>
        <w:t>DOC-RIE-005 · versión 1.0 · CONFIDENCIAL · vigente</w:t>
      </w:r>
    </w:p>
    <w:p>
      <w:pPr>
        <w:pStyle w:val="Heading1"/>
      </w:pPr>
      <w:r>
        <w:t>Política de previsionamiento por incobrabilidad</w:t>
      </w:r>
    </w:p>
    <w:p>
      <w:pPr>
        <w:pStyle w:val="Heading2"/>
      </w:pPr>
      <w:r>
        <w:t>1. Objetivo</w:t>
      </w:r>
    </w:p>
    <w:p>
      <w:r>
        <w:rPr>
          <w:b w:val="0"/>
        </w:rPr>
        <w:t>Definir el criterio con el que el banco constituye previsiones por riesgo de incobrabilidad, de modo que los estados contables reflejen el deterioro esperado de la cartera y no solo el deterioro ya materializado.</w:t>
      </w:r>
    </w:p>
    <w:p>
      <w:pPr>
        <w:pStyle w:val="Heading2"/>
      </w:pPr>
      <w:r>
        <w:t>2. Clasificación de deudores</w:t>
      </w:r>
    </w:p>
    <w:p>
      <w:r>
        <w:rPr>
          <w:b w:val="0"/>
        </w:rPr>
        <w:t>Los deudores se clasifican en las categorías previstas por la normativa del Banco Central, determinadas principalmente por los días de atraso y, en las carteras comerciales, por el análisis de la capacidad de repago proyectada. La clasificación es única por deudor: si una persona tiene más de una financiación, la peor situación arrastra a las demás.</w:t>
      </w:r>
    </w:p>
    <w:p>
      <w:pPr>
        <w:pStyle w:val="Heading2"/>
      </w:pPr>
      <w:r>
        <w:t>3. Porcentajes mínimos de previsión</w:t>
      </w:r>
    </w:p>
    <w:p>
      <w:r>
        <w:rPr>
          <w:b w:val="0"/>
        </w:rPr>
        <w:t>Los porcentajes aplicados no son inferiores a los mínimos regulatorios. El banco puede constituir previsiones adicionales por decisión del Comité de Riesgos cuando identifique un deterioro esperado que la clasificación por atraso todavía no refleja, típicamente ante un shock sectorial o macroeconómico.</w:t>
      </w:r>
    </w:p>
    <w:p>
      <w:pPr>
        <w:pStyle w:val="Heading2"/>
      </w:pPr>
      <w:r>
        <w:t>4. Garantías</w:t>
      </w:r>
    </w:p>
    <w:p>
      <w:r>
        <w:rPr>
          <w:b w:val="0"/>
        </w:rPr>
        <w:t>Las garantías preferidas reducen la base sobre la que se calcula la previsión, en la proporción y con los aforos previstos en la normativa. Una garantía se computa como preferida solo si su documentación está completa, vigente y verificada; una garantía cuya documentación no puede acreditarse se trata como si no existiera.</w:t>
      </w:r>
    </w:p>
    <w:p>
      <w:pPr>
        <w:pStyle w:val="Heading2"/>
      </w:pPr>
      <w:r>
        <w:t>5. Desafectación</w:t>
      </w:r>
    </w:p>
    <w:p>
      <w:r>
        <w:rPr>
          <w:b w:val="0"/>
        </w:rPr>
        <w:t>Las previsiones se desafectan cuando el deudor regulariza su situación y sostiene el cumplimiento durante el período mínimo previsto por la normativa. La regularización puntual de una cuota no habilita la desafectación.</w:t>
      </w:r>
    </w:p>
    <w:p>
      <w:pPr>
        <w:pStyle w:val="Heading2"/>
      </w:pPr>
      <w:r>
        <w:t>6. Relación con la política de riesgo crediticio</w:t>
      </w:r>
    </w:p>
    <w:p>
      <w:r>
        <w:rPr>
          <w:b w:val="0"/>
        </w:rPr>
        <w:t>Esta política complementa a DOC-RIE-001: aquella define cuánto riesgo se asume, esta define cómo se reconoce contablemente el riesgo ya asumido. Ante discrepancia de criterio entre ambas, prevalece el que resulte más conservador.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previsionamiento por incobrabilidad</dc:title>
  <dc:subject>Clasificacion: confidencial</dc:subject>
  <dc:creator>Banco Ejemplo S.A. — Riesgos</dc:creator>
  <cp:keywords>riesgo_crediticio, previsiones, politica, mora</cp:keywords>
  <dc:description>DOC-RIE-005 version 1.0 — estado vigente</dc:description>
  <cp:lastModifiedBy>Banco Ejemplo S.A. — Riesgos</cp:lastModifiedBy>
  <cp:revision>1</cp:revision>
  <dcterms:created xsi:type="dcterms:W3CDTF">2013-12-23T23:15:00Z</dcterms:created>
  <dcterms:modified xsi:type="dcterms:W3CDTF">2013-12-23T23:15:00Z</dcterms:modified>
  <cp:category>politica_interna</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digo">
    <vt:lpwstr>DOC-RIE-005</vt:lpwstr>
  </property>
  <property fmtid="{D5CDD505-2E9C-101B-9397-08002B2CF9AE}" pid="3" name="Tipo">
    <vt:lpwstr>politica_interna</vt:lpwstr>
  </property>
  <property fmtid="{D5CDD505-2E9C-101B-9397-08002B2CF9AE}" pid="4" name="Area">
    <vt:lpwstr>Riesgos</vt:lpwstr>
  </property>
  <property fmtid="{D5CDD505-2E9C-101B-9397-08002B2CF9AE}" pid="5" name="Confidencialidad">
    <vt:lpwstr>confidencial</vt:lpwstr>
  </property>
  <property fmtid="{D5CDD505-2E9C-101B-9397-08002B2CF9AE}" pid="6" name="Version">
    <vt:lpwstr>1.0</vt:lpwstr>
  </property>
  <property fmtid="{D5CDD505-2E9C-101B-9397-08002B2CF9AE}" pid="7" name="VigenteDesde">
    <vt:lpwstr>2024-01-01</vt:lpwstr>
  </property>
  <property fmtid="{D5CDD505-2E9C-101B-9397-08002B2CF9AE}" pid="8" name="VigenteHasta">
    <vt:lpwstr/>
  </property>
  <property fmtid="{D5CDD505-2E9C-101B-9397-08002B2CF9AE}" pid="9" name="Estado">
    <vt:lpwstr>vigente</vt:lpwstr>
  </property>
  <property fmtid="{D5CDD505-2E9C-101B-9397-08002B2CF9AE}" pid="10" name="Etiquetas">
    <vt:lpwstr>riesgo_crediticio, previsiones, politica, mora</vt:lpwstr>
  </property>
  <property fmtid="{D5CDD505-2E9C-101B-9397-08002B2CF9AE}" pid="11" name="Relaciones">
    <vt:lpwstr>complementa DOC-RIE-001</vt:lpwstr>
  </property>
</Properties>
</file>