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06060"/>
          <w:sz w:val="16"/>
        </w:rPr>
        <w:t>DOC-CMP-001 · versión 4.0 · CONFIDENCIAL · vigente</w:t>
      </w:r>
    </w:p>
    <w:p>
      <w:pPr>
        <w:pStyle w:val="Heading1"/>
      </w:pPr>
      <w:r>
        <w:t>Política de prevención de lavado de activos y financiación del terrorismo</w:t>
      </w:r>
    </w:p>
    <w:p>
      <w:pPr>
        <w:pStyle w:val="IntenseQuote"/>
      </w:pPr>
      <w:r>
        <w:rPr>
          <w:b w:val="0"/>
        </w:rPr>
        <w:t>Esta política deroga y reemplaza integralmente a DOC-CMP-002, vigente desde 2019. La reescritura responde a la adecuación a la Comunicación "A" 7370 del BCRA y a las recomendaciones surgidas de la última evaluación externa de cumplimiento.</w:t>
      </w:r>
    </w:p>
    <w:p>
      <w:pPr>
        <w:pStyle w:val="Heading2"/>
      </w:pPr>
      <w:r>
        <w:t>1. Objetivo</w:t>
      </w:r>
    </w:p>
    <w:p>
      <w:r>
        <w:rPr>
          <w:b w:val="0"/>
        </w:rPr>
        <w:t>Establecer el marco de prevención del lavado de activos y de la financiación del terrorismo del banco, de modo que la entidad no sea utilizada como vehículo para legitimar fondos de origen ilícito ni para canalizar recursos hacia actividades terroristas.</w:t>
      </w:r>
    </w:p>
    <w:p>
      <w:pPr>
        <w:pStyle w:val="Heading2"/>
      </w:pPr>
      <w:r>
        <w:t>2. Alcance</w:t>
      </w:r>
    </w:p>
    <w:p>
      <w:r>
        <w:rPr>
          <w:b w:val="0"/>
        </w:rPr>
        <w:t>Alcanza a todas las áreas, productos y canales del banco, incluidas las operaciones originadas por canales digitales y las realizadas a través de terceros con contrato de tercerización. Ningún producto queda fuera del alcance por su bajo monto: el enfoque es por riesgo, no por importe.</w:t>
      </w:r>
    </w:p>
    <w:p>
      <w:pPr>
        <w:pStyle w:val="Heading2"/>
      </w:pPr>
      <w:r>
        <w:t>3. Enfoque basado en riesgo</w:t>
      </w:r>
    </w:p>
    <w:p>
      <w:r>
        <w:rPr>
          <w:b w:val="0"/>
        </w:rPr>
        <w:t>El banco clasifica a cada cliente en un nivel de riesgo (bajo, medio, alto) a partir de su actividad declarada, su jurisdicción, el canal por el que opera, los productos que utiliza y su condición de persona expuesta políticamente. El nivel de riesgo determina la intensidad de la debida diligencia y la frecuencia con la que se revisa el legajo.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Nivel de riesgo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Debida diligencia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Revisión del legajo</w:t>
            </w:r>
          </w:p>
        </w:tc>
      </w:tr>
      <w:tr>
        <w:tc>
          <w:tcPr>
            <w:tcW w:type="dxa" w:w="2880"/>
          </w:tcPr>
          <w:p>
            <w:r>
              <w:t>Bajo</w:t>
            </w:r>
          </w:p>
        </w:tc>
        <w:tc>
          <w:tcPr>
            <w:tcW w:type="dxa" w:w="2880"/>
          </w:tcPr>
          <w:p>
            <w:r>
              <w:t>Simplificada</w:t>
            </w:r>
          </w:p>
        </w:tc>
        <w:tc>
          <w:tcPr>
            <w:tcW w:type="dxa" w:w="2880"/>
          </w:tcPr>
          <w:p>
            <w:r>
              <w:t>Cada 5 años</w:t>
            </w:r>
          </w:p>
        </w:tc>
      </w:tr>
      <w:tr>
        <w:tc>
          <w:tcPr>
            <w:tcW w:type="dxa" w:w="2880"/>
          </w:tcPr>
          <w:p>
            <w:r>
              <w:t>Medio</w:t>
            </w:r>
          </w:p>
        </w:tc>
        <w:tc>
          <w:tcPr>
            <w:tcW w:type="dxa" w:w="2880"/>
          </w:tcPr>
          <w:p>
            <w:r>
              <w:t>Estándar (DOC-CMP-005)</w:t>
            </w:r>
          </w:p>
        </w:tc>
        <w:tc>
          <w:tcPr>
            <w:tcW w:type="dxa" w:w="2880"/>
          </w:tcPr>
          <w:p>
            <w:r>
              <w:t>Cada 2 años</w:t>
            </w:r>
          </w:p>
        </w:tc>
      </w:tr>
      <w:tr>
        <w:tc>
          <w:tcPr>
            <w:tcW w:type="dxa" w:w="2880"/>
          </w:tcPr>
          <w:p>
            <w:r>
              <w:t>Alto</w:t>
            </w:r>
          </w:p>
        </w:tc>
        <w:tc>
          <w:tcPr>
            <w:tcW w:type="dxa" w:w="2880"/>
          </w:tcPr>
          <w:p>
            <w:r>
              <w:t>Reforzada (DOC-CMP-003)</w:t>
            </w:r>
          </w:p>
        </w:tc>
        <w:tc>
          <w:tcPr>
            <w:tcW w:type="dxa" w:w="2880"/>
          </w:tcPr>
          <w:p>
            <w:r>
              <w:t>Anual</w:t>
            </w:r>
          </w:p>
        </w:tc>
      </w:tr>
    </w:tbl>
    <w:p>
      <w:pPr>
        <w:pStyle w:val="Heading2"/>
      </w:pPr>
      <w:r>
        <w:t>4. Conocimiento del cliente</w:t>
      </w:r>
    </w:p>
    <w:p>
      <w:r>
        <w:rPr>
          <w:b w:val="0"/>
        </w:rPr>
        <w:t>Ninguna cuenta se abre ni ninguna operación se cursa sin haber completado el proceso de conocimiento del cliente que describe DOC-CMP-005. La identificación del beneficiario final es parte obligatoria de ese proceso en el caso de personas jurídicas: una estructura societaria que impida identificar al beneficiario final es motivo suficiente para rechazar la relación.</w:t>
      </w:r>
    </w:p>
    <w:p>
      <w:pPr>
        <w:pStyle w:val="Heading2"/>
      </w:pPr>
      <w:r>
        <w:t>5. Monitoreo de operaciones</w:t>
      </w:r>
    </w:p>
    <w:p>
      <w:r>
        <w:rPr>
          <w:b w:val="0"/>
        </w:rPr>
        <w:t>El sistema de monitoreo genera alertas sobre operaciones que se apartan del perfil transaccional del cliente. Toda alerta se analiza y se cierra con fundamento documentado, sea que derive o no en un reporte. El cierre masivo de alertas sin análisis individual está expresamente prohibido.</w:t>
      </w:r>
    </w:p>
    <w:p>
      <w:pPr>
        <w:pStyle w:val="Heading2"/>
      </w:pPr>
      <w:r>
        <w:t>6. Reporte de operaciones sospechosas</w:t>
      </w:r>
    </w:p>
    <w:p>
      <w:r>
        <w:rPr>
          <w:b w:val="0"/>
        </w:rPr>
        <w:t>Cuando el análisis concluye que existe sospecha, el Oficial de Cumplimiento eleva el reporte conforme al instructivo DOC-CMP-004, cuyo contenido y cuya existencia están sujetos al deber de reserva legal. Ningún empleado puede informar al cliente ni a terceros que se ha reportado o que se está analizando una operación suya.</w:t>
      </w:r>
    </w:p>
    <w:p>
      <w:pPr>
        <w:pStyle w:val="Heading2"/>
      </w:pPr>
      <w:r>
        <w:t>7. Capacitación</w:t>
      </w:r>
    </w:p>
    <w:p>
      <w:r>
        <w:rPr>
          <w:b w:val="0"/>
        </w:rPr>
        <w:t>Todo el personal recibe capacitación en prevención de lavado al ingresar y con periodicidad anual. La capacitación es obligatoria y su cumplimiento se controla: la falta de capacitación vigente inhabilita al empleado para operar con clientes.</w:t>
      </w:r>
    </w:p>
    <w:p>
      <w:pPr>
        <w:pStyle w:val="Heading2"/>
      </w:pPr>
      <w:r>
        <w:t>8. Conservación</w:t>
      </w:r>
    </w:p>
    <w:p>
      <w:r>
        <w:rPr>
          <w:b w:val="0"/>
        </w:rPr>
        <w:t>La documentación de identificación del cliente y el respaldo de las operaciones se conservan por el plazo que fija la normativa, contado desde la finalización de la relación o desde la operación, el que sea mayor. El detalle de plazos está en la política de conservación documental (DOC-LEG-007).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prevención de lavado de activos y financiación del terrorismo</dc:title>
  <dc:subject>Clasificacion: confidencial</dc:subject>
  <dc:creator>Banco Ejemplo S.A. — Compliance</dc:creator>
  <cp:keywords>prevencion_lavado, politica, compliance, kyc, financiacion_terrorismo</cp:keywords>
  <dc:description>DOC-CMP-001 version 4.0 — estado vigente</dc:description>
  <cp:lastModifiedBy>Banco Ejemplo S.A. — Compliance</cp:lastModifiedBy>
  <cp:revision>1</cp:revision>
  <dcterms:created xsi:type="dcterms:W3CDTF">2013-12-23T23:15:00Z</dcterms:created>
  <dcterms:modified xsi:type="dcterms:W3CDTF">2013-12-23T23:15:00Z</dcterms:modified>
  <cp:category>politica_interna</cp:category>
  <cp:version>4.0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digo">
    <vt:lpwstr>DOC-CMP-001</vt:lpwstr>
  </property>
  <property fmtid="{D5CDD505-2E9C-101B-9397-08002B2CF9AE}" pid="3" name="Tipo">
    <vt:lpwstr>politica_interna</vt:lpwstr>
  </property>
  <property fmtid="{D5CDD505-2E9C-101B-9397-08002B2CF9AE}" pid="4" name="Area">
    <vt:lpwstr>Compliance</vt:lpwstr>
  </property>
  <property fmtid="{D5CDD505-2E9C-101B-9397-08002B2CF9AE}" pid="5" name="Confidencialidad">
    <vt:lpwstr>confidencial</vt:lpwstr>
  </property>
  <property fmtid="{D5CDD505-2E9C-101B-9397-08002B2CF9AE}" pid="6" name="Version">
    <vt:lpwstr>4.0</vt:lpwstr>
  </property>
  <property fmtid="{D5CDD505-2E9C-101B-9397-08002B2CF9AE}" pid="7" name="VigenteDesde">
    <vt:lpwstr>2024-03-01</vt:lpwstr>
  </property>
  <property fmtid="{D5CDD505-2E9C-101B-9397-08002B2CF9AE}" pid="8" name="VigenteHasta">
    <vt:lpwstr/>
  </property>
  <property fmtid="{D5CDD505-2E9C-101B-9397-08002B2CF9AE}" pid="9" name="Estado">
    <vt:lpwstr>vigente</vt:lpwstr>
  </property>
  <property fmtid="{D5CDD505-2E9C-101B-9397-08002B2CF9AE}" pid="10" name="Etiquetas">
    <vt:lpwstr>prevencion_lavado, politica, compliance, kyc, financiacion_terrorismo</vt:lpwstr>
  </property>
  <property fmtid="{D5CDD505-2E9C-101B-9397-08002B2CF9AE}" pid="11" name="Relaciones">
    <vt:lpwstr>deroga DOC-CMP-002; referencia DOC-BCRA-7370</vt:lpwstr>
  </property>
</Properties>
</file>